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086" w:rsidRPr="00A21086" w:rsidRDefault="00A21086" w:rsidP="00A21086">
      <w:pPr>
        <w:spacing w:line="256" w:lineRule="auto"/>
        <w:rPr>
          <w:rFonts w:eastAsiaTheme="minorHAnsi"/>
          <w:lang w:eastAsia="en-US"/>
        </w:rPr>
      </w:pPr>
      <w:r w:rsidRPr="00A21086">
        <w:rPr>
          <w:rFonts w:eastAsiaTheme="minorHAnsi"/>
          <w:lang w:eastAsia="en-US"/>
        </w:rPr>
        <w:t>CENTAR ZA KULTURU</w:t>
      </w:r>
      <w:r>
        <w:rPr>
          <w:rFonts w:eastAsiaTheme="minorHAnsi"/>
          <w:lang w:eastAsia="en-US"/>
        </w:rPr>
        <w:t xml:space="preserve"> VELA LUKA</w:t>
      </w:r>
    </w:p>
    <w:p w:rsidR="00A21086" w:rsidRPr="00A21086" w:rsidRDefault="00A21086" w:rsidP="00A21086">
      <w:pPr>
        <w:spacing w:line="256" w:lineRule="auto"/>
        <w:rPr>
          <w:rFonts w:eastAsiaTheme="minorHAnsi"/>
          <w:lang w:eastAsia="en-US"/>
        </w:rPr>
      </w:pPr>
      <w:r w:rsidRPr="00A21086">
        <w:rPr>
          <w:rFonts w:eastAsiaTheme="minorHAnsi"/>
          <w:lang w:eastAsia="en-US"/>
        </w:rPr>
        <w:t>Ulica 26 broj 2</w:t>
      </w:r>
    </w:p>
    <w:p w:rsidR="00A21086" w:rsidRPr="00A21086" w:rsidRDefault="00A21086" w:rsidP="00A21086">
      <w:pPr>
        <w:spacing w:line="256" w:lineRule="auto"/>
        <w:rPr>
          <w:rFonts w:eastAsiaTheme="minorHAnsi"/>
          <w:lang w:eastAsia="en-US"/>
        </w:rPr>
      </w:pPr>
      <w:r w:rsidRPr="00A21086">
        <w:rPr>
          <w:rFonts w:eastAsiaTheme="minorHAnsi"/>
          <w:lang w:eastAsia="en-US"/>
        </w:rPr>
        <w:t>20 270 VELA LUKA</w:t>
      </w:r>
    </w:p>
    <w:p w:rsidR="00A21086" w:rsidRPr="00A21086" w:rsidRDefault="00A21086" w:rsidP="00A21086">
      <w:pPr>
        <w:spacing w:line="256" w:lineRule="auto"/>
        <w:rPr>
          <w:rFonts w:eastAsiaTheme="minorHAnsi"/>
          <w:lang w:eastAsia="en-US"/>
        </w:rPr>
      </w:pPr>
      <w:r w:rsidRPr="00A21086">
        <w:rPr>
          <w:rFonts w:eastAsiaTheme="minorHAnsi"/>
          <w:lang w:eastAsia="en-US"/>
        </w:rPr>
        <w:t>OIB: 51876693841</w:t>
      </w:r>
    </w:p>
    <w:p w:rsidR="00503F39" w:rsidRPr="00216D44" w:rsidRDefault="00216D44" w:rsidP="00FD3900">
      <w:r w:rsidRPr="00216D44">
        <w:t xml:space="preserve">Vela Luka, </w:t>
      </w:r>
      <w:r w:rsidR="00854CF4">
        <w:t>31</w:t>
      </w:r>
      <w:r w:rsidR="00503F39" w:rsidRPr="00216D44">
        <w:t>.0</w:t>
      </w:r>
      <w:r w:rsidR="00854CF4">
        <w:t>3</w:t>
      </w:r>
      <w:r w:rsidR="00503F39" w:rsidRPr="00216D44">
        <w:t>.202</w:t>
      </w:r>
      <w:r w:rsidR="00854CF4">
        <w:t>5</w:t>
      </w:r>
      <w:r w:rsidR="00503F39" w:rsidRPr="00216D44">
        <w:t>.g.</w:t>
      </w:r>
    </w:p>
    <w:p w:rsidR="00A41F98" w:rsidRPr="00216D44" w:rsidRDefault="00A41F98" w:rsidP="00A41F98">
      <w:pPr>
        <w:jc w:val="right"/>
      </w:pPr>
    </w:p>
    <w:p w:rsidR="00760AF2" w:rsidRPr="00216D44" w:rsidRDefault="00FD3900" w:rsidP="00FD3900">
      <w:pPr>
        <w:jc w:val="center"/>
      </w:pPr>
      <w:r w:rsidRPr="00216D44">
        <w:t>GODIŠNJI IZVJEŠTAJ O IZVRŠENJU FINANCIJSKOG PLANA</w:t>
      </w:r>
    </w:p>
    <w:p w:rsidR="007D75D5" w:rsidRPr="00216D44" w:rsidRDefault="007D75D5" w:rsidP="00FD3900">
      <w:pPr>
        <w:jc w:val="center"/>
      </w:pPr>
      <w:r w:rsidRPr="00216D44">
        <w:t>(01-</w:t>
      </w:r>
      <w:r w:rsidR="00EA3CA5">
        <w:t>12</w:t>
      </w:r>
      <w:r w:rsidRPr="00216D44">
        <w:t>/202</w:t>
      </w:r>
      <w:r w:rsidR="00216D44" w:rsidRPr="00216D44">
        <w:t>4</w:t>
      </w:r>
      <w:r w:rsidRPr="00216D44">
        <w:t>)</w:t>
      </w:r>
    </w:p>
    <w:p w:rsidR="00FD3900" w:rsidRPr="00216D44" w:rsidRDefault="00FD3900" w:rsidP="00FD3900"/>
    <w:p w:rsidR="00A41F98" w:rsidRPr="00216D44" w:rsidRDefault="00A41F98" w:rsidP="00FD3900">
      <w:r w:rsidRPr="00216D44">
        <w:t>Sukladno Pravilniku o polugodišnjem i godišnjem izvršenju proračuna i financijskog plana (NN 85/2023) prilažem:</w:t>
      </w:r>
    </w:p>
    <w:p w:rsidR="00A41F98" w:rsidRPr="00216D44" w:rsidRDefault="00A41F98" w:rsidP="00FD3900"/>
    <w:p w:rsidR="00A41F98" w:rsidRPr="00216D44" w:rsidRDefault="00A41F98" w:rsidP="00A41F98">
      <w:pPr>
        <w:pStyle w:val="ListParagraph"/>
        <w:numPr>
          <w:ilvl w:val="0"/>
          <w:numId w:val="2"/>
        </w:numPr>
      </w:pPr>
      <w:r w:rsidRPr="00216D44">
        <w:t>OPĆI DIO GODIŠNJEG IZVJEŠTAJA:</w:t>
      </w:r>
    </w:p>
    <w:p w:rsidR="009A029B" w:rsidRPr="00216D44" w:rsidRDefault="009A029B" w:rsidP="009A029B">
      <w:pPr>
        <w:pStyle w:val="ListParagraph"/>
        <w:numPr>
          <w:ilvl w:val="0"/>
          <w:numId w:val="3"/>
        </w:numPr>
      </w:pPr>
      <w:r w:rsidRPr="00216D44">
        <w:t>Sažetak računa prihoda i rashoda i Računa financiranja</w:t>
      </w:r>
    </w:p>
    <w:p w:rsidR="00A41F98" w:rsidRPr="00216D44" w:rsidRDefault="00A41F98" w:rsidP="00A41F98">
      <w:pPr>
        <w:pStyle w:val="ListParagraph"/>
        <w:numPr>
          <w:ilvl w:val="0"/>
          <w:numId w:val="3"/>
        </w:numPr>
      </w:pPr>
      <w:r w:rsidRPr="00216D44">
        <w:t>Izvještaj o prihodima i rashodima prema ekonomskoj klasifikaciji</w:t>
      </w:r>
    </w:p>
    <w:p w:rsidR="00A41F98" w:rsidRPr="00216D44" w:rsidRDefault="00A41F98" w:rsidP="00A41F98">
      <w:pPr>
        <w:pStyle w:val="ListParagraph"/>
        <w:numPr>
          <w:ilvl w:val="0"/>
          <w:numId w:val="3"/>
        </w:numPr>
      </w:pPr>
      <w:r w:rsidRPr="00216D44">
        <w:t xml:space="preserve">Izvještaj o prihodima i </w:t>
      </w:r>
      <w:r w:rsidR="00DD6C14" w:rsidRPr="00216D44">
        <w:t>rashodima prema izvorima financi</w:t>
      </w:r>
      <w:r w:rsidRPr="00216D44">
        <w:t>ranja</w:t>
      </w:r>
    </w:p>
    <w:p w:rsidR="00A41F98" w:rsidRPr="00216D44" w:rsidRDefault="00A41F98" w:rsidP="00A41F98">
      <w:pPr>
        <w:pStyle w:val="ListParagraph"/>
        <w:numPr>
          <w:ilvl w:val="0"/>
          <w:numId w:val="3"/>
        </w:numPr>
      </w:pPr>
      <w:r w:rsidRPr="00216D44">
        <w:t>Izvještaj o rashodima prema funkcijskoj klasifikaciji</w:t>
      </w:r>
    </w:p>
    <w:p w:rsidR="00A41F98" w:rsidRPr="00216D44" w:rsidRDefault="00A41F98" w:rsidP="00A41F98">
      <w:pPr>
        <w:pStyle w:val="ListParagraph"/>
        <w:numPr>
          <w:ilvl w:val="0"/>
          <w:numId w:val="3"/>
        </w:numPr>
      </w:pPr>
      <w:r w:rsidRPr="00216D44">
        <w:t>Izvještaj računa financiranja prema ekonomskoj klasifikaciji</w:t>
      </w:r>
    </w:p>
    <w:p w:rsidR="00A41F98" w:rsidRPr="00216D44" w:rsidRDefault="00A41F98" w:rsidP="00A41F98">
      <w:pPr>
        <w:pStyle w:val="ListParagraph"/>
        <w:numPr>
          <w:ilvl w:val="0"/>
          <w:numId w:val="3"/>
        </w:numPr>
      </w:pPr>
      <w:r w:rsidRPr="00216D44">
        <w:t>Izvještaj računa financiranja prema izvorima financiranja</w:t>
      </w:r>
    </w:p>
    <w:p w:rsidR="00A41F98" w:rsidRPr="00216D44" w:rsidRDefault="00A41F98" w:rsidP="00A41F98"/>
    <w:p w:rsidR="00A41F98" w:rsidRPr="00216D44" w:rsidRDefault="00A41F98" w:rsidP="00A41F98">
      <w:pPr>
        <w:pStyle w:val="ListParagraph"/>
        <w:numPr>
          <w:ilvl w:val="0"/>
          <w:numId w:val="2"/>
        </w:numPr>
      </w:pPr>
      <w:r w:rsidRPr="00216D44">
        <w:t>POSEBNI DIO GODIŠNJEG IZVJEŠTAJA:</w:t>
      </w:r>
    </w:p>
    <w:p w:rsidR="00A41F98" w:rsidRPr="00216D44" w:rsidRDefault="00A41F98" w:rsidP="00A41F98">
      <w:pPr>
        <w:pStyle w:val="ListParagraph"/>
        <w:numPr>
          <w:ilvl w:val="0"/>
          <w:numId w:val="3"/>
        </w:numPr>
      </w:pPr>
      <w:r w:rsidRPr="00216D44">
        <w:t>Izvršenje financijskog plana po programskog klasifikaciji</w:t>
      </w:r>
    </w:p>
    <w:p w:rsidR="00A41F98" w:rsidRPr="00216D44" w:rsidRDefault="00A41F98" w:rsidP="00A41F98">
      <w:pPr>
        <w:pStyle w:val="ListParagraph"/>
        <w:ind w:left="1080"/>
      </w:pPr>
    </w:p>
    <w:p w:rsidR="00A41F98" w:rsidRPr="00216D44" w:rsidRDefault="00A41F98" w:rsidP="00A41F98">
      <w:pPr>
        <w:pStyle w:val="ListParagraph"/>
        <w:numPr>
          <w:ilvl w:val="0"/>
          <w:numId w:val="2"/>
        </w:numPr>
      </w:pPr>
      <w:r w:rsidRPr="00216D44">
        <w:t>OBRAZLOŽENJE</w:t>
      </w:r>
      <w:r w:rsidR="00DD6C14" w:rsidRPr="00216D44">
        <w:t>:</w:t>
      </w:r>
    </w:p>
    <w:p w:rsidR="00DD6C14" w:rsidRPr="00216D44" w:rsidRDefault="00DD6C14" w:rsidP="00DD6C14">
      <w:pPr>
        <w:pStyle w:val="ListParagraph"/>
        <w:numPr>
          <w:ilvl w:val="0"/>
          <w:numId w:val="3"/>
        </w:numPr>
      </w:pPr>
      <w:r w:rsidRPr="00216D44">
        <w:t>Obrazloženje Općeg dijela</w:t>
      </w:r>
    </w:p>
    <w:p w:rsidR="00043A3D" w:rsidRDefault="00DD6C14" w:rsidP="00DD6C14">
      <w:pPr>
        <w:pStyle w:val="ListParagraph"/>
        <w:numPr>
          <w:ilvl w:val="0"/>
          <w:numId w:val="3"/>
        </w:numPr>
      </w:pPr>
      <w:r w:rsidRPr="00216D44">
        <w:t xml:space="preserve">Obrazloženje Posebnog dijela (odnosi se na proračunsku godinu, </w:t>
      </w:r>
      <w:r w:rsidR="00EA3CA5">
        <w:t>č</w:t>
      </w:r>
      <w:r w:rsidRPr="00216D44">
        <w:t>lanak 45. Pravilnika)</w:t>
      </w:r>
      <w:r w:rsidR="00854CF4">
        <w:t>.</w:t>
      </w:r>
      <w:r w:rsidR="00EA3CA5" w:rsidRPr="00EA3CA5">
        <w:t xml:space="preserve"> </w:t>
      </w:r>
      <w:r w:rsidR="00EA3CA5">
        <w:t>Obrazloženje posebnog dijela izvještaja o izvršenju financijskog plana proračunskog korisnika za proračunsku godinu sadrži obrazloženje izvršenja programa koje se daje kroz obrazloženje izvršenja aktivnosti i projekata zajedno s ciljevima koji su ostvareni provedbom programa i pokazateljima uspješnosti realizacije tih ciljeva koji se sastoje od pokazatelja učinka i pokazatelja rezultata.</w:t>
      </w:r>
      <w:r w:rsidR="00043A3D">
        <w:t xml:space="preserve"> </w:t>
      </w:r>
    </w:p>
    <w:p w:rsidR="00043A3D" w:rsidRDefault="00043A3D" w:rsidP="00043A3D">
      <w:pPr>
        <w:ind w:left="720"/>
      </w:pPr>
    </w:p>
    <w:p w:rsidR="00A21086" w:rsidRDefault="00A21086" w:rsidP="00A21086">
      <w:pPr>
        <w:spacing w:after="160" w:line="256" w:lineRule="auto"/>
        <w:rPr>
          <w:rFonts w:eastAsiaTheme="minorHAnsi"/>
          <w:lang w:eastAsia="en-US"/>
        </w:rPr>
      </w:pPr>
      <w:r w:rsidRPr="00A21086">
        <w:rPr>
          <w:rFonts w:eastAsiaTheme="minorHAnsi"/>
          <w:lang w:eastAsia="en-US"/>
        </w:rPr>
        <w:t>CZK</w:t>
      </w:r>
      <w:r w:rsidRPr="00A21086">
        <w:t xml:space="preserve"> </w:t>
      </w:r>
      <w:r>
        <w:t>na rashodovnoj strani</w:t>
      </w:r>
      <w:r w:rsidRPr="00A21086">
        <w:rPr>
          <w:rFonts w:eastAsiaTheme="minorHAnsi"/>
          <w:lang w:eastAsia="en-US"/>
        </w:rPr>
        <w:t xml:space="preserve"> ima jedan Program naziva Redovan rad CZK, za koji je</w:t>
      </w:r>
      <w:r>
        <w:rPr>
          <w:rFonts w:eastAsiaTheme="minorHAnsi"/>
          <w:lang w:eastAsia="en-US"/>
        </w:rPr>
        <w:t xml:space="preserve"> u 2024. godini utrošeno 300.881,05 eura.</w:t>
      </w:r>
      <w:r w:rsidRPr="00A21086">
        <w:rPr>
          <w:rFonts w:eastAsiaTheme="minorHAnsi"/>
          <w:lang w:eastAsia="en-US"/>
        </w:rPr>
        <w:t xml:space="preserve"> Sastoji se od slijedećih aktivnosti i projekata</w:t>
      </w:r>
      <w:r w:rsidR="00116D27">
        <w:rPr>
          <w:rFonts w:eastAsiaTheme="minorHAnsi"/>
          <w:lang w:eastAsia="en-US"/>
        </w:rPr>
        <w:t xml:space="preserve"> na koje su potrošeni prikazani iznosi</w:t>
      </w:r>
      <w:r w:rsidRPr="00A21086">
        <w:rPr>
          <w:rFonts w:eastAsiaTheme="minorHAnsi"/>
          <w:lang w:eastAsia="en-US"/>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3827"/>
      </w:tblGrid>
      <w:tr w:rsidR="00116D27" w:rsidRPr="00116D27" w:rsidTr="00116D27">
        <w:trPr>
          <w:trHeight w:val="467"/>
        </w:trPr>
        <w:tc>
          <w:tcPr>
            <w:tcW w:w="4394" w:type="dxa"/>
            <w:tcBorders>
              <w:top w:val="single" w:sz="4" w:space="0" w:color="auto"/>
              <w:left w:val="single" w:sz="4" w:space="0" w:color="auto"/>
              <w:bottom w:val="single" w:sz="4" w:space="0" w:color="auto"/>
              <w:right w:val="single" w:sz="4" w:space="0" w:color="auto"/>
            </w:tcBorders>
          </w:tcPr>
          <w:p w:rsidR="00116D27" w:rsidRPr="00116D27" w:rsidRDefault="00116D27" w:rsidP="00092E05">
            <w:pPr>
              <w:spacing w:line="256" w:lineRule="auto"/>
              <w:rPr>
                <w:b/>
                <w:sz w:val="22"/>
                <w:szCs w:val="22"/>
                <w:lang w:eastAsia="en-US"/>
              </w:rPr>
            </w:pPr>
            <w:r w:rsidRPr="00116D27">
              <w:rPr>
                <w:b/>
                <w:sz w:val="22"/>
                <w:szCs w:val="22"/>
                <w:lang w:eastAsia="en-US"/>
              </w:rPr>
              <w:t>Aktivnost/Projekt</w:t>
            </w:r>
          </w:p>
          <w:p w:rsidR="00116D27" w:rsidRPr="00116D27" w:rsidRDefault="00116D27" w:rsidP="00092E05">
            <w:pPr>
              <w:spacing w:line="256" w:lineRule="auto"/>
              <w:rPr>
                <w:b/>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116D27" w:rsidRPr="00116D27" w:rsidRDefault="00116D27" w:rsidP="00092E05">
            <w:pPr>
              <w:spacing w:line="256" w:lineRule="auto"/>
              <w:jc w:val="right"/>
              <w:rPr>
                <w:b/>
                <w:sz w:val="22"/>
                <w:szCs w:val="22"/>
                <w:lang w:eastAsia="en-US"/>
              </w:rPr>
            </w:pPr>
            <w:r w:rsidRPr="00116D27">
              <w:rPr>
                <w:b/>
                <w:sz w:val="22"/>
                <w:szCs w:val="22"/>
                <w:lang w:eastAsia="en-US"/>
              </w:rPr>
              <w:t>Izvršeno 31.12.2024. u EUR</w:t>
            </w:r>
          </w:p>
        </w:tc>
      </w:tr>
      <w:tr w:rsidR="00116D27" w:rsidRPr="0033115C" w:rsidTr="00116D27">
        <w:tc>
          <w:tcPr>
            <w:tcW w:w="4394" w:type="dxa"/>
            <w:tcBorders>
              <w:top w:val="single" w:sz="4" w:space="0" w:color="auto"/>
              <w:left w:val="single" w:sz="4" w:space="0" w:color="auto"/>
              <w:bottom w:val="single" w:sz="4" w:space="0" w:color="auto"/>
              <w:right w:val="single" w:sz="4" w:space="0" w:color="auto"/>
            </w:tcBorders>
            <w:hideMark/>
          </w:tcPr>
          <w:p w:rsidR="00116D27" w:rsidRPr="0033115C" w:rsidRDefault="00116D27" w:rsidP="00092E05">
            <w:pPr>
              <w:spacing w:line="256" w:lineRule="auto"/>
              <w:rPr>
                <w:sz w:val="22"/>
                <w:szCs w:val="22"/>
                <w:lang w:eastAsia="en-US"/>
              </w:rPr>
            </w:pPr>
            <w:r w:rsidRPr="00A21086">
              <w:rPr>
                <w:rFonts w:eastAsiaTheme="minorHAnsi"/>
                <w:lang w:eastAsia="en-US"/>
              </w:rPr>
              <w:t>Redovan rad CZK</w:t>
            </w:r>
          </w:p>
        </w:tc>
        <w:tc>
          <w:tcPr>
            <w:tcW w:w="3827" w:type="dxa"/>
            <w:tcBorders>
              <w:top w:val="single" w:sz="4" w:space="0" w:color="auto"/>
              <w:left w:val="single" w:sz="4" w:space="0" w:color="auto"/>
              <w:bottom w:val="single" w:sz="4" w:space="0" w:color="auto"/>
              <w:right w:val="single" w:sz="4" w:space="0" w:color="auto"/>
            </w:tcBorders>
            <w:hideMark/>
          </w:tcPr>
          <w:p w:rsidR="00116D27" w:rsidRPr="0033115C" w:rsidRDefault="00116D27" w:rsidP="00092E05">
            <w:pPr>
              <w:spacing w:line="256" w:lineRule="auto"/>
              <w:jc w:val="right"/>
              <w:rPr>
                <w:sz w:val="22"/>
                <w:szCs w:val="22"/>
                <w:lang w:eastAsia="en-US"/>
              </w:rPr>
            </w:pPr>
            <w:r>
              <w:rPr>
                <w:sz w:val="22"/>
                <w:szCs w:val="22"/>
                <w:lang w:eastAsia="en-US"/>
              </w:rPr>
              <w:t>72.917,22</w:t>
            </w:r>
            <w:r w:rsidRPr="0033115C">
              <w:rPr>
                <w:sz w:val="22"/>
                <w:szCs w:val="22"/>
                <w:lang w:eastAsia="en-US"/>
              </w:rPr>
              <w:t xml:space="preserve"> </w:t>
            </w:r>
          </w:p>
        </w:tc>
      </w:tr>
      <w:tr w:rsidR="00116D27" w:rsidRPr="0033115C" w:rsidTr="00116D27">
        <w:tc>
          <w:tcPr>
            <w:tcW w:w="4394" w:type="dxa"/>
            <w:tcBorders>
              <w:top w:val="single" w:sz="4" w:space="0" w:color="auto"/>
              <w:left w:val="single" w:sz="4" w:space="0" w:color="auto"/>
              <w:bottom w:val="single" w:sz="4" w:space="0" w:color="auto"/>
              <w:right w:val="single" w:sz="4" w:space="0" w:color="auto"/>
            </w:tcBorders>
            <w:hideMark/>
          </w:tcPr>
          <w:p w:rsidR="00116D27" w:rsidRPr="0033115C" w:rsidRDefault="00116D27" w:rsidP="00092E05">
            <w:pPr>
              <w:spacing w:line="256" w:lineRule="auto"/>
              <w:rPr>
                <w:sz w:val="22"/>
                <w:szCs w:val="22"/>
                <w:lang w:eastAsia="en-US"/>
              </w:rPr>
            </w:pPr>
            <w:r>
              <w:rPr>
                <w:rFonts w:eastAsiaTheme="minorHAnsi"/>
                <w:lang w:eastAsia="en-US"/>
              </w:rPr>
              <w:t>J</w:t>
            </w:r>
            <w:r w:rsidRPr="00A21086">
              <w:rPr>
                <w:rFonts w:eastAsiaTheme="minorHAnsi"/>
                <w:lang w:eastAsia="en-US"/>
              </w:rPr>
              <w:t>avni rad - CZK</w:t>
            </w:r>
          </w:p>
        </w:tc>
        <w:tc>
          <w:tcPr>
            <w:tcW w:w="3827" w:type="dxa"/>
            <w:tcBorders>
              <w:top w:val="single" w:sz="4" w:space="0" w:color="auto"/>
              <w:left w:val="single" w:sz="4" w:space="0" w:color="auto"/>
              <w:bottom w:val="single" w:sz="4" w:space="0" w:color="auto"/>
              <w:right w:val="single" w:sz="4" w:space="0" w:color="auto"/>
            </w:tcBorders>
            <w:hideMark/>
          </w:tcPr>
          <w:p w:rsidR="00116D27" w:rsidRPr="0033115C" w:rsidRDefault="00116D27" w:rsidP="00092E05">
            <w:pPr>
              <w:spacing w:line="256" w:lineRule="auto"/>
              <w:jc w:val="right"/>
              <w:rPr>
                <w:sz w:val="22"/>
                <w:szCs w:val="22"/>
                <w:lang w:eastAsia="en-US"/>
              </w:rPr>
            </w:pPr>
            <w:r>
              <w:rPr>
                <w:sz w:val="22"/>
                <w:szCs w:val="22"/>
                <w:lang w:eastAsia="en-US"/>
              </w:rPr>
              <w:t>0,00</w:t>
            </w:r>
            <w:r w:rsidRPr="0033115C">
              <w:rPr>
                <w:sz w:val="22"/>
                <w:szCs w:val="22"/>
                <w:lang w:eastAsia="en-US"/>
              </w:rPr>
              <w:t xml:space="preserve"> </w:t>
            </w:r>
          </w:p>
        </w:tc>
      </w:tr>
      <w:tr w:rsidR="00116D27" w:rsidRPr="0033115C" w:rsidTr="00116D27">
        <w:tc>
          <w:tcPr>
            <w:tcW w:w="4394" w:type="dxa"/>
            <w:tcBorders>
              <w:top w:val="single" w:sz="4" w:space="0" w:color="auto"/>
              <w:left w:val="single" w:sz="4" w:space="0" w:color="auto"/>
              <w:bottom w:val="single" w:sz="4" w:space="0" w:color="auto"/>
              <w:right w:val="single" w:sz="4" w:space="0" w:color="auto"/>
            </w:tcBorders>
          </w:tcPr>
          <w:p w:rsidR="00116D27" w:rsidRDefault="00116D27" w:rsidP="00092E05">
            <w:pPr>
              <w:spacing w:line="256" w:lineRule="auto"/>
              <w:rPr>
                <w:sz w:val="22"/>
                <w:szCs w:val="22"/>
                <w:lang w:eastAsia="en-US"/>
              </w:rPr>
            </w:pPr>
            <w:r w:rsidRPr="00A21086">
              <w:rPr>
                <w:rFonts w:eastAsiaTheme="minorHAnsi"/>
                <w:lang w:eastAsia="en-US"/>
              </w:rPr>
              <w:t>Memorijalna zbirka Olivera Dragojevića</w:t>
            </w:r>
          </w:p>
        </w:tc>
        <w:tc>
          <w:tcPr>
            <w:tcW w:w="3827" w:type="dxa"/>
            <w:tcBorders>
              <w:top w:val="single" w:sz="4" w:space="0" w:color="auto"/>
              <w:left w:val="single" w:sz="4" w:space="0" w:color="auto"/>
              <w:bottom w:val="single" w:sz="4" w:space="0" w:color="auto"/>
              <w:right w:val="single" w:sz="4" w:space="0" w:color="auto"/>
            </w:tcBorders>
          </w:tcPr>
          <w:p w:rsidR="00116D27" w:rsidRDefault="00116D27" w:rsidP="00092E05">
            <w:pPr>
              <w:spacing w:line="256" w:lineRule="auto"/>
              <w:jc w:val="right"/>
              <w:rPr>
                <w:sz w:val="22"/>
                <w:szCs w:val="22"/>
                <w:lang w:eastAsia="en-US"/>
              </w:rPr>
            </w:pPr>
            <w:r>
              <w:rPr>
                <w:sz w:val="22"/>
                <w:szCs w:val="22"/>
                <w:lang w:eastAsia="en-US"/>
              </w:rPr>
              <w:t>130.083,84</w:t>
            </w:r>
            <w:r>
              <w:rPr>
                <w:sz w:val="22"/>
                <w:szCs w:val="22"/>
                <w:lang w:eastAsia="en-US"/>
              </w:rPr>
              <w:t xml:space="preserve"> </w:t>
            </w:r>
          </w:p>
        </w:tc>
      </w:tr>
      <w:tr w:rsidR="00116D27" w:rsidRPr="0033115C" w:rsidTr="00116D27">
        <w:tc>
          <w:tcPr>
            <w:tcW w:w="4394" w:type="dxa"/>
            <w:tcBorders>
              <w:top w:val="single" w:sz="4" w:space="0" w:color="auto"/>
              <w:left w:val="single" w:sz="4" w:space="0" w:color="auto"/>
              <w:bottom w:val="single" w:sz="4" w:space="0" w:color="auto"/>
              <w:right w:val="single" w:sz="4" w:space="0" w:color="auto"/>
            </w:tcBorders>
          </w:tcPr>
          <w:p w:rsidR="00116D27" w:rsidRPr="00A21086" w:rsidRDefault="00116D27" w:rsidP="00092E05">
            <w:pPr>
              <w:spacing w:line="256" w:lineRule="auto"/>
              <w:rPr>
                <w:rFonts w:eastAsiaTheme="minorHAnsi"/>
                <w:lang w:eastAsia="en-US"/>
              </w:rPr>
            </w:pPr>
            <w:r w:rsidRPr="00A21086">
              <w:rPr>
                <w:rFonts w:eastAsiaTheme="minorHAnsi"/>
                <w:lang w:eastAsia="en-US"/>
              </w:rPr>
              <w:t>Manifestacija „Trag u beskraju“</w:t>
            </w:r>
          </w:p>
        </w:tc>
        <w:tc>
          <w:tcPr>
            <w:tcW w:w="3827" w:type="dxa"/>
            <w:tcBorders>
              <w:top w:val="single" w:sz="4" w:space="0" w:color="auto"/>
              <w:left w:val="single" w:sz="4" w:space="0" w:color="auto"/>
              <w:bottom w:val="single" w:sz="4" w:space="0" w:color="auto"/>
              <w:right w:val="single" w:sz="4" w:space="0" w:color="auto"/>
            </w:tcBorders>
          </w:tcPr>
          <w:p w:rsidR="00116D27" w:rsidRDefault="00116D27" w:rsidP="00092E05">
            <w:pPr>
              <w:spacing w:line="256" w:lineRule="auto"/>
              <w:jc w:val="right"/>
              <w:rPr>
                <w:sz w:val="22"/>
                <w:szCs w:val="22"/>
                <w:lang w:eastAsia="en-US"/>
              </w:rPr>
            </w:pPr>
            <w:r>
              <w:rPr>
                <w:sz w:val="22"/>
                <w:szCs w:val="22"/>
                <w:lang w:eastAsia="en-US"/>
              </w:rPr>
              <w:t>74.905,38</w:t>
            </w:r>
          </w:p>
        </w:tc>
      </w:tr>
      <w:tr w:rsidR="00116D27" w:rsidRPr="0033115C" w:rsidTr="00116D27">
        <w:tc>
          <w:tcPr>
            <w:tcW w:w="4394" w:type="dxa"/>
            <w:tcBorders>
              <w:top w:val="single" w:sz="4" w:space="0" w:color="auto"/>
              <w:left w:val="single" w:sz="4" w:space="0" w:color="auto"/>
              <w:bottom w:val="single" w:sz="4" w:space="0" w:color="auto"/>
              <w:right w:val="single" w:sz="4" w:space="0" w:color="auto"/>
            </w:tcBorders>
          </w:tcPr>
          <w:p w:rsidR="00116D27" w:rsidRPr="00A21086" w:rsidRDefault="00116D27" w:rsidP="00092E05">
            <w:pPr>
              <w:spacing w:line="256" w:lineRule="auto"/>
              <w:rPr>
                <w:rFonts w:eastAsiaTheme="minorHAnsi"/>
                <w:lang w:eastAsia="en-US"/>
              </w:rPr>
            </w:pPr>
            <w:r w:rsidRPr="00A21086">
              <w:rPr>
                <w:rFonts w:eastAsiaTheme="minorHAnsi"/>
                <w:lang w:eastAsia="en-US"/>
              </w:rPr>
              <w:t>Kulturna događanja i koncerti</w:t>
            </w:r>
          </w:p>
        </w:tc>
        <w:tc>
          <w:tcPr>
            <w:tcW w:w="3827" w:type="dxa"/>
            <w:tcBorders>
              <w:top w:val="single" w:sz="4" w:space="0" w:color="auto"/>
              <w:left w:val="single" w:sz="4" w:space="0" w:color="auto"/>
              <w:bottom w:val="single" w:sz="4" w:space="0" w:color="auto"/>
              <w:right w:val="single" w:sz="4" w:space="0" w:color="auto"/>
            </w:tcBorders>
          </w:tcPr>
          <w:p w:rsidR="00116D27" w:rsidRDefault="00116D27" w:rsidP="00092E05">
            <w:pPr>
              <w:spacing w:line="256" w:lineRule="auto"/>
              <w:jc w:val="right"/>
              <w:rPr>
                <w:sz w:val="22"/>
                <w:szCs w:val="22"/>
                <w:lang w:eastAsia="en-US"/>
              </w:rPr>
            </w:pPr>
            <w:r>
              <w:rPr>
                <w:sz w:val="22"/>
                <w:szCs w:val="22"/>
                <w:lang w:eastAsia="en-US"/>
              </w:rPr>
              <w:t>22.974,61</w:t>
            </w:r>
          </w:p>
        </w:tc>
      </w:tr>
      <w:tr w:rsidR="00116D27" w:rsidRPr="00116D27" w:rsidTr="00116D27">
        <w:tc>
          <w:tcPr>
            <w:tcW w:w="4394" w:type="dxa"/>
            <w:tcBorders>
              <w:top w:val="single" w:sz="4" w:space="0" w:color="auto"/>
              <w:left w:val="single" w:sz="4" w:space="0" w:color="auto"/>
              <w:bottom w:val="single" w:sz="4" w:space="0" w:color="auto"/>
              <w:right w:val="single" w:sz="4" w:space="0" w:color="auto"/>
            </w:tcBorders>
          </w:tcPr>
          <w:p w:rsidR="00116D27" w:rsidRPr="00116D27" w:rsidRDefault="00116D27" w:rsidP="00116D27">
            <w:pPr>
              <w:spacing w:line="256" w:lineRule="auto"/>
              <w:jc w:val="right"/>
              <w:rPr>
                <w:rFonts w:eastAsiaTheme="minorHAnsi"/>
                <w:b/>
                <w:lang w:eastAsia="en-US"/>
              </w:rPr>
            </w:pPr>
            <w:r w:rsidRPr="00116D27">
              <w:rPr>
                <w:rFonts w:eastAsiaTheme="minorHAnsi"/>
                <w:b/>
                <w:lang w:eastAsia="en-US"/>
              </w:rPr>
              <w:t>UKUPNO</w:t>
            </w:r>
          </w:p>
        </w:tc>
        <w:tc>
          <w:tcPr>
            <w:tcW w:w="3827" w:type="dxa"/>
            <w:tcBorders>
              <w:top w:val="single" w:sz="4" w:space="0" w:color="auto"/>
              <w:left w:val="single" w:sz="4" w:space="0" w:color="auto"/>
              <w:bottom w:val="single" w:sz="4" w:space="0" w:color="auto"/>
              <w:right w:val="single" w:sz="4" w:space="0" w:color="auto"/>
            </w:tcBorders>
          </w:tcPr>
          <w:p w:rsidR="00116D27" w:rsidRPr="00116D27" w:rsidRDefault="00116D27" w:rsidP="00116D27">
            <w:pPr>
              <w:spacing w:line="256" w:lineRule="auto"/>
              <w:jc w:val="right"/>
              <w:rPr>
                <w:b/>
                <w:sz w:val="22"/>
                <w:szCs w:val="22"/>
                <w:lang w:eastAsia="en-US"/>
              </w:rPr>
            </w:pPr>
            <w:r w:rsidRPr="00116D27">
              <w:rPr>
                <w:b/>
                <w:sz w:val="22"/>
                <w:szCs w:val="22"/>
                <w:lang w:eastAsia="en-US"/>
              </w:rPr>
              <w:fldChar w:fldCharType="begin"/>
            </w:r>
            <w:r w:rsidRPr="00116D27">
              <w:rPr>
                <w:b/>
                <w:sz w:val="22"/>
                <w:szCs w:val="22"/>
                <w:lang w:eastAsia="en-US"/>
              </w:rPr>
              <w:instrText xml:space="preserve"> =SUM(ABOVE) </w:instrText>
            </w:r>
            <w:r w:rsidRPr="00116D27">
              <w:rPr>
                <w:b/>
                <w:sz w:val="22"/>
                <w:szCs w:val="22"/>
                <w:lang w:eastAsia="en-US"/>
              </w:rPr>
              <w:fldChar w:fldCharType="separate"/>
            </w:r>
            <w:r w:rsidRPr="00116D27">
              <w:rPr>
                <w:b/>
                <w:noProof/>
                <w:sz w:val="22"/>
                <w:szCs w:val="22"/>
                <w:lang w:eastAsia="en-US"/>
              </w:rPr>
              <w:t>300.881,05</w:t>
            </w:r>
            <w:r w:rsidRPr="00116D27">
              <w:rPr>
                <w:b/>
                <w:sz w:val="22"/>
                <w:szCs w:val="22"/>
                <w:lang w:eastAsia="en-US"/>
              </w:rPr>
              <w:fldChar w:fldCharType="end"/>
            </w:r>
          </w:p>
        </w:tc>
      </w:tr>
    </w:tbl>
    <w:p w:rsidR="00116D27" w:rsidRPr="00216D44" w:rsidRDefault="00116D27" w:rsidP="00116D27"/>
    <w:p w:rsidR="00DD6C14" w:rsidRPr="00216D44" w:rsidRDefault="00DD6C14" w:rsidP="00DD6C14"/>
    <w:p w:rsidR="00DD6C14" w:rsidRPr="00216D44" w:rsidRDefault="00DD6C14" w:rsidP="00DD6C14">
      <w:pPr>
        <w:pStyle w:val="ListParagraph"/>
        <w:numPr>
          <w:ilvl w:val="0"/>
          <w:numId w:val="2"/>
        </w:numPr>
        <w:rPr>
          <w:u w:val="single"/>
        </w:rPr>
      </w:pPr>
      <w:r w:rsidRPr="00216D44">
        <w:rPr>
          <w:u w:val="single"/>
        </w:rPr>
        <w:t>POSEBNI IZVJEŠTAJI</w:t>
      </w:r>
    </w:p>
    <w:p w:rsidR="00DD6C14" w:rsidRPr="00216D44" w:rsidRDefault="00DD6C14" w:rsidP="00DD6C14">
      <w:pPr>
        <w:pStyle w:val="ListParagraph"/>
        <w:jc w:val="center"/>
        <w:rPr>
          <w:b/>
          <w:u w:val="single"/>
        </w:rPr>
      </w:pPr>
    </w:p>
    <w:p w:rsidR="00DD6C14" w:rsidRPr="00216D44" w:rsidRDefault="00DD6C14" w:rsidP="00DD6C14">
      <w:r w:rsidRPr="00216D44">
        <w:t>Sukladno Članku 46. Pravilnika Posebni izvještaji su :</w:t>
      </w:r>
    </w:p>
    <w:p w:rsidR="00DD6C14" w:rsidRPr="00216D44" w:rsidRDefault="00DD6C14" w:rsidP="00DD6C14">
      <w:pPr>
        <w:rPr>
          <w:b/>
        </w:rPr>
      </w:pPr>
    </w:p>
    <w:p w:rsidR="00DD6C14" w:rsidRPr="00216D44" w:rsidRDefault="00DD6C14" w:rsidP="00DD6C14">
      <w:pPr>
        <w:pStyle w:val="ListParagraph"/>
        <w:numPr>
          <w:ilvl w:val="0"/>
          <w:numId w:val="1"/>
        </w:numPr>
      </w:pPr>
      <w:r w:rsidRPr="00216D44">
        <w:t>Izvještaj o zaduživanju na domaćem i stranom tržištu novca i kapital,</w:t>
      </w:r>
    </w:p>
    <w:p w:rsidR="00DD6C14" w:rsidRPr="00216D44" w:rsidRDefault="00DD6C14" w:rsidP="00DD6C14">
      <w:pPr>
        <w:pStyle w:val="ListParagraph"/>
        <w:numPr>
          <w:ilvl w:val="0"/>
          <w:numId w:val="1"/>
        </w:numPr>
      </w:pPr>
      <w:r w:rsidRPr="00216D44">
        <w:t>Izvještaj o korištenju sredstava fondova EU,</w:t>
      </w:r>
    </w:p>
    <w:p w:rsidR="00DD6C14" w:rsidRPr="00216D44" w:rsidRDefault="00DD6C14" w:rsidP="00DD6C14">
      <w:pPr>
        <w:pStyle w:val="ListParagraph"/>
        <w:numPr>
          <w:ilvl w:val="0"/>
          <w:numId w:val="1"/>
        </w:numPr>
      </w:pPr>
      <w:r w:rsidRPr="00216D44">
        <w:t xml:space="preserve">Izvještaj o danim zajmovima i potraživanjima po danim zajmovima i </w:t>
      </w:r>
    </w:p>
    <w:p w:rsidR="00DD6C14" w:rsidRPr="00216D44" w:rsidRDefault="00DD6C14" w:rsidP="00DD6C14">
      <w:pPr>
        <w:pStyle w:val="ListParagraph"/>
        <w:numPr>
          <w:ilvl w:val="0"/>
          <w:numId w:val="1"/>
        </w:numPr>
      </w:pPr>
      <w:r w:rsidRPr="00216D44">
        <w:t>Izvještaj o stanju potraživanja i dospjelih obveza te o stanju potencijalnih obveza po osnovi sudskih sporova.</w:t>
      </w:r>
    </w:p>
    <w:p w:rsidR="00DD6C14" w:rsidRPr="00216D44" w:rsidRDefault="00DD6C14" w:rsidP="00DD6C14"/>
    <w:p w:rsidR="00DD6C14" w:rsidRPr="00216D44" w:rsidRDefault="00DD6C14" w:rsidP="00DD6C14">
      <w:r w:rsidRPr="00216D44">
        <w:t xml:space="preserve">Proračunski </w:t>
      </w:r>
      <w:r w:rsidR="007D75D5" w:rsidRPr="00216D44">
        <w:t>k</w:t>
      </w:r>
      <w:r w:rsidRPr="00216D44">
        <w:t xml:space="preserve">orisnik </w:t>
      </w:r>
      <w:r w:rsidR="00A21086">
        <w:t>Centar za kulturu Vela Luka</w:t>
      </w:r>
      <w:r w:rsidRPr="00216D44">
        <w:t>, nije se zaduživao, nije koristio sredstva EU fondova, nije imao zajmove ni sudske sporove.</w:t>
      </w:r>
    </w:p>
    <w:p w:rsidR="004D53AF" w:rsidRDefault="004D53AF" w:rsidP="00530A3D"/>
    <w:p w:rsidR="00530A3D" w:rsidRPr="00216D44" w:rsidRDefault="00530A3D" w:rsidP="00530A3D">
      <w:r>
        <w:t xml:space="preserve">Na dan 31.12.2024. </w:t>
      </w:r>
      <w:r>
        <w:t>CZK</w:t>
      </w:r>
      <w:r>
        <w:t xml:space="preserve"> je imao potraživanja za prihode poslovanja u ukupnom iznosu od </w:t>
      </w:r>
      <w:r>
        <w:t>2</w:t>
      </w:r>
      <w:r>
        <w:t xml:space="preserve"> eura, a koja se odnose na </w:t>
      </w:r>
      <w:r>
        <w:t>ulaznice za Velu spilu</w:t>
      </w:r>
      <w:r>
        <w:t xml:space="preserve">. </w:t>
      </w:r>
      <w:r>
        <w:t xml:space="preserve">Također je imao potraživanja od HZZO za refundacije bolovanja u iznosu od </w:t>
      </w:r>
      <w:r w:rsidRPr="00216D44">
        <w:t xml:space="preserve"> </w:t>
      </w:r>
      <w:r w:rsidR="00296FCA">
        <w:t>687,47 eura.</w:t>
      </w:r>
    </w:p>
    <w:p w:rsidR="00A41F98" w:rsidRPr="00216D44" w:rsidRDefault="00A41F98" w:rsidP="00FD3900"/>
    <w:p w:rsidR="00116D27" w:rsidRDefault="00116D27" w:rsidP="00116D27">
      <w:r w:rsidRPr="00AC63D4">
        <w:rPr>
          <w:b/>
        </w:rPr>
        <w:t xml:space="preserve">CZK - </w:t>
      </w:r>
      <w:r w:rsidRPr="00AC63D4">
        <w:t>na dan 31.12.2</w:t>
      </w:r>
      <w:r>
        <w:t>4</w:t>
      </w:r>
      <w:r w:rsidRPr="00AC63D4">
        <w:t xml:space="preserve">. </w:t>
      </w:r>
      <w:r w:rsidR="004D53AF">
        <w:t xml:space="preserve">je </w:t>
      </w:r>
      <w:r w:rsidRPr="00AC63D4">
        <w:t>ima</w:t>
      </w:r>
      <w:r w:rsidR="004D53AF">
        <w:t>o</w:t>
      </w:r>
      <w:r w:rsidRPr="00AC63D4">
        <w:t xml:space="preserve"> neizmirene</w:t>
      </w:r>
      <w:r>
        <w:t xml:space="preserve"> obveze u ukupnom iznosu od 100,00 eura, a koje </w:t>
      </w:r>
      <w:r>
        <w:t>su dospjele</w:t>
      </w:r>
      <w:r>
        <w:t xml:space="preserve"> u 01/2025. </w:t>
      </w:r>
    </w:p>
    <w:p w:rsidR="00116D27" w:rsidRDefault="00116D27" w:rsidP="00116D27"/>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620"/>
        <w:gridCol w:w="1353"/>
      </w:tblGrid>
      <w:tr w:rsidR="00116D27" w:rsidRPr="0033115C" w:rsidTr="00092E05">
        <w:trPr>
          <w:trHeight w:val="467"/>
        </w:trPr>
        <w:tc>
          <w:tcPr>
            <w:tcW w:w="2199" w:type="dxa"/>
            <w:tcBorders>
              <w:top w:val="single" w:sz="4" w:space="0" w:color="auto"/>
              <w:left w:val="single" w:sz="4" w:space="0" w:color="auto"/>
              <w:bottom w:val="single" w:sz="4" w:space="0" w:color="auto"/>
              <w:right w:val="single" w:sz="4" w:space="0" w:color="auto"/>
            </w:tcBorders>
          </w:tcPr>
          <w:p w:rsidR="00116D27" w:rsidRPr="0033115C" w:rsidRDefault="00116D27" w:rsidP="00092E05">
            <w:pPr>
              <w:spacing w:line="256" w:lineRule="auto"/>
              <w:rPr>
                <w:sz w:val="22"/>
                <w:szCs w:val="22"/>
                <w:lang w:eastAsia="en-US"/>
              </w:rPr>
            </w:pPr>
            <w:r w:rsidRPr="0033115C">
              <w:rPr>
                <w:sz w:val="22"/>
                <w:szCs w:val="22"/>
                <w:lang w:eastAsia="en-US"/>
              </w:rPr>
              <w:t>DOBAVLJAČ</w:t>
            </w:r>
          </w:p>
          <w:p w:rsidR="00116D27" w:rsidRPr="0033115C" w:rsidRDefault="00116D27" w:rsidP="00092E05">
            <w:pPr>
              <w:spacing w:line="256" w:lineRule="auto"/>
              <w:rPr>
                <w:sz w:val="22"/>
                <w:szCs w:val="22"/>
                <w:lang w:eastAsia="en-US"/>
              </w:rPr>
            </w:pPr>
          </w:p>
        </w:tc>
        <w:tc>
          <w:tcPr>
            <w:tcW w:w="2620" w:type="dxa"/>
            <w:tcBorders>
              <w:top w:val="single" w:sz="4" w:space="0" w:color="auto"/>
              <w:left w:val="single" w:sz="4" w:space="0" w:color="auto"/>
              <w:bottom w:val="single" w:sz="4" w:space="0" w:color="auto"/>
              <w:right w:val="single" w:sz="4" w:space="0" w:color="auto"/>
            </w:tcBorders>
            <w:hideMark/>
          </w:tcPr>
          <w:p w:rsidR="00116D27" w:rsidRPr="0033115C" w:rsidRDefault="00116D27" w:rsidP="00092E05">
            <w:pPr>
              <w:spacing w:line="256" w:lineRule="auto"/>
              <w:jc w:val="right"/>
              <w:rPr>
                <w:sz w:val="22"/>
                <w:szCs w:val="22"/>
                <w:lang w:eastAsia="en-US"/>
              </w:rPr>
            </w:pPr>
            <w:r w:rsidRPr="0033115C">
              <w:rPr>
                <w:sz w:val="22"/>
                <w:szCs w:val="22"/>
                <w:lang w:eastAsia="en-US"/>
              </w:rPr>
              <w:t>IZNOS RAČUNA</w:t>
            </w:r>
            <w:r>
              <w:rPr>
                <w:sz w:val="22"/>
                <w:szCs w:val="22"/>
                <w:lang w:eastAsia="en-US"/>
              </w:rPr>
              <w:t xml:space="preserve"> U EUR</w:t>
            </w:r>
          </w:p>
        </w:tc>
        <w:tc>
          <w:tcPr>
            <w:tcW w:w="993" w:type="dxa"/>
            <w:tcBorders>
              <w:top w:val="single" w:sz="4" w:space="0" w:color="auto"/>
              <w:left w:val="single" w:sz="4" w:space="0" w:color="auto"/>
              <w:bottom w:val="single" w:sz="4" w:space="0" w:color="auto"/>
              <w:right w:val="single" w:sz="4" w:space="0" w:color="auto"/>
            </w:tcBorders>
            <w:hideMark/>
          </w:tcPr>
          <w:p w:rsidR="00116D27" w:rsidRPr="0033115C" w:rsidRDefault="00116D27" w:rsidP="00092E05">
            <w:pPr>
              <w:spacing w:line="256" w:lineRule="auto"/>
              <w:jc w:val="right"/>
              <w:rPr>
                <w:sz w:val="22"/>
                <w:szCs w:val="22"/>
                <w:lang w:eastAsia="en-US"/>
              </w:rPr>
            </w:pPr>
            <w:r w:rsidRPr="0033115C">
              <w:rPr>
                <w:sz w:val="22"/>
                <w:szCs w:val="22"/>
                <w:lang w:eastAsia="en-US"/>
              </w:rPr>
              <w:t>DOSPIJEĆE</w:t>
            </w:r>
          </w:p>
        </w:tc>
      </w:tr>
      <w:tr w:rsidR="00116D27" w:rsidRPr="0033115C" w:rsidTr="00092E05">
        <w:tc>
          <w:tcPr>
            <w:tcW w:w="2199" w:type="dxa"/>
            <w:tcBorders>
              <w:top w:val="single" w:sz="4" w:space="0" w:color="auto"/>
              <w:left w:val="single" w:sz="4" w:space="0" w:color="auto"/>
              <w:bottom w:val="single" w:sz="4" w:space="0" w:color="auto"/>
              <w:right w:val="single" w:sz="4" w:space="0" w:color="auto"/>
            </w:tcBorders>
            <w:hideMark/>
          </w:tcPr>
          <w:p w:rsidR="00116D27" w:rsidRPr="0033115C" w:rsidRDefault="00116D27" w:rsidP="00092E05">
            <w:pPr>
              <w:spacing w:line="256" w:lineRule="auto"/>
              <w:rPr>
                <w:sz w:val="22"/>
                <w:szCs w:val="22"/>
                <w:lang w:eastAsia="en-US"/>
              </w:rPr>
            </w:pPr>
            <w:r>
              <w:rPr>
                <w:sz w:val="22"/>
                <w:szCs w:val="22"/>
                <w:lang w:eastAsia="en-US"/>
              </w:rPr>
              <w:t>Vallegrande d.o.o.</w:t>
            </w:r>
          </w:p>
        </w:tc>
        <w:tc>
          <w:tcPr>
            <w:tcW w:w="2620" w:type="dxa"/>
            <w:tcBorders>
              <w:top w:val="single" w:sz="4" w:space="0" w:color="auto"/>
              <w:left w:val="single" w:sz="4" w:space="0" w:color="auto"/>
              <w:bottom w:val="single" w:sz="4" w:space="0" w:color="auto"/>
              <w:right w:val="single" w:sz="4" w:space="0" w:color="auto"/>
            </w:tcBorders>
            <w:hideMark/>
          </w:tcPr>
          <w:p w:rsidR="00116D27" w:rsidRPr="0033115C" w:rsidRDefault="00116D27" w:rsidP="00092E05">
            <w:pPr>
              <w:spacing w:line="256" w:lineRule="auto"/>
              <w:jc w:val="right"/>
              <w:rPr>
                <w:sz w:val="22"/>
                <w:szCs w:val="22"/>
                <w:lang w:eastAsia="en-US"/>
              </w:rPr>
            </w:pPr>
            <w:r>
              <w:rPr>
                <w:sz w:val="22"/>
                <w:szCs w:val="22"/>
                <w:lang w:eastAsia="en-US"/>
              </w:rPr>
              <w:t>20,00</w:t>
            </w:r>
            <w:r w:rsidRPr="0033115C">
              <w:rPr>
                <w:sz w:val="22"/>
                <w:szCs w:val="22"/>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116D27" w:rsidRPr="0033115C" w:rsidRDefault="00116D27" w:rsidP="00092E05">
            <w:pPr>
              <w:spacing w:line="256" w:lineRule="auto"/>
              <w:jc w:val="right"/>
              <w:rPr>
                <w:sz w:val="22"/>
                <w:szCs w:val="22"/>
                <w:lang w:eastAsia="en-US"/>
              </w:rPr>
            </w:pPr>
            <w:r>
              <w:rPr>
                <w:sz w:val="22"/>
                <w:szCs w:val="22"/>
                <w:lang w:eastAsia="en-US"/>
              </w:rPr>
              <w:t>0</w:t>
            </w:r>
            <w:r w:rsidRPr="0033115C">
              <w:rPr>
                <w:sz w:val="22"/>
                <w:szCs w:val="22"/>
                <w:lang w:eastAsia="en-US"/>
              </w:rPr>
              <w:t>6.01.202</w:t>
            </w:r>
            <w:r>
              <w:rPr>
                <w:sz w:val="22"/>
                <w:szCs w:val="22"/>
                <w:lang w:eastAsia="en-US"/>
              </w:rPr>
              <w:t>5.</w:t>
            </w:r>
          </w:p>
        </w:tc>
      </w:tr>
      <w:tr w:rsidR="00116D27" w:rsidRPr="0033115C" w:rsidTr="00092E05">
        <w:tc>
          <w:tcPr>
            <w:tcW w:w="2199" w:type="dxa"/>
            <w:tcBorders>
              <w:top w:val="single" w:sz="4" w:space="0" w:color="auto"/>
              <w:left w:val="single" w:sz="4" w:space="0" w:color="auto"/>
              <w:bottom w:val="single" w:sz="4" w:space="0" w:color="auto"/>
              <w:right w:val="single" w:sz="4" w:space="0" w:color="auto"/>
            </w:tcBorders>
            <w:hideMark/>
          </w:tcPr>
          <w:p w:rsidR="00116D27" w:rsidRPr="0033115C" w:rsidRDefault="00116D27" w:rsidP="00092E05">
            <w:pPr>
              <w:spacing w:line="256" w:lineRule="auto"/>
              <w:rPr>
                <w:sz w:val="22"/>
                <w:szCs w:val="22"/>
                <w:lang w:eastAsia="en-US"/>
              </w:rPr>
            </w:pPr>
            <w:r>
              <w:rPr>
                <w:sz w:val="22"/>
                <w:szCs w:val="22"/>
                <w:lang w:eastAsia="en-US"/>
              </w:rPr>
              <w:t>Radio M V. Luka</w:t>
            </w:r>
          </w:p>
        </w:tc>
        <w:tc>
          <w:tcPr>
            <w:tcW w:w="2620" w:type="dxa"/>
            <w:tcBorders>
              <w:top w:val="single" w:sz="4" w:space="0" w:color="auto"/>
              <w:left w:val="single" w:sz="4" w:space="0" w:color="auto"/>
              <w:bottom w:val="single" w:sz="4" w:space="0" w:color="auto"/>
              <w:right w:val="single" w:sz="4" w:space="0" w:color="auto"/>
            </w:tcBorders>
            <w:hideMark/>
          </w:tcPr>
          <w:p w:rsidR="00116D27" w:rsidRPr="0033115C" w:rsidRDefault="00116D27" w:rsidP="00092E05">
            <w:pPr>
              <w:spacing w:line="256" w:lineRule="auto"/>
              <w:jc w:val="right"/>
              <w:rPr>
                <w:sz w:val="22"/>
                <w:szCs w:val="22"/>
                <w:lang w:eastAsia="en-US"/>
              </w:rPr>
            </w:pPr>
            <w:r>
              <w:rPr>
                <w:sz w:val="22"/>
                <w:szCs w:val="22"/>
                <w:lang w:eastAsia="en-US"/>
              </w:rPr>
              <w:t>60,00</w:t>
            </w:r>
            <w:r w:rsidRPr="0033115C">
              <w:rPr>
                <w:sz w:val="22"/>
                <w:szCs w:val="22"/>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116D27" w:rsidRPr="0033115C" w:rsidRDefault="00116D27" w:rsidP="00092E05">
            <w:pPr>
              <w:spacing w:line="256" w:lineRule="auto"/>
              <w:jc w:val="right"/>
              <w:rPr>
                <w:sz w:val="22"/>
                <w:szCs w:val="22"/>
                <w:lang w:eastAsia="en-US"/>
              </w:rPr>
            </w:pPr>
            <w:r w:rsidRPr="0033115C">
              <w:rPr>
                <w:sz w:val="22"/>
                <w:szCs w:val="22"/>
                <w:lang w:eastAsia="en-US"/>
              </w:rPr>
              <w:t>0</w:t>
            </w:r>
            <w:r>
              <w:rPr>
                <w:sz w:val="22"/>
                <w:szCs w:val="22"/>
                <w:lang w:eastAsia="en-US"/>
              </w:rPr>
              <w:t>6</w:t>
            </w:r>
            <w:r w:rsidRPr="0033115C">
              <w:rPr>
                <w:sz w:val="22"/>
                <w:szCs w:val="22"/>
                <w:lang w:eastAsia="en-US"/>
              </w:rPr>
              <w:t>.01.202</w:t>
            </w:r>
            <w:r>
              <w:rPr>
                <w:sz w:val="22"/>
                <w:szCs w:val="22"/>
                <w:lang w:eastAsia="en-US"/>
              </w:rPr>
              <w:t>5.</w:t>
            </w:r>
          </w:p>
        </w:tc>
      </w:tr>
      <w:tr w:rsidR="00116D27" w:rsidRPr="0033115C" w:rsidTr="00092E05">
        <w:tc>
          <w:tcPr>
            <w:tcW w:w="2199" w:type="dxa"/>
            <w:tcBorders>
              <w:top w:val="single" w:sz="4" w:space="0" w:color="auto"/>
              <w:left w:val="single" w:sz="4" w:space="0" w:color="auto"/>
              <w:bottom w:val="single" w:sz="4" w:space="0" w:color="auto"/>
              <w:right w:val="single" w:sz="4" w:space="0" w:color="auto"/>
            </w:tcBorders>
          </w:tcPr>
          <w:p w:rsidR="00116D27" w:rsidRDefault="00116D27" w:rsidP="00092E05">
            <w:pPr>
              <w:spacing w:line="256" w:lineRule="auto"/>
              <w:rPr>
                <w:sz w:val="22"/>
                <w:szCs w:val="22"/>
                <w:lang w:eastAsia="en-US"/>
              </w:rPr>
            </w:pPr>
            <w:r>
              <w:rPr>
                <w:sz w:val="22"/>
                <w:szCs w:val="22"/>
                <w:lang w:eastAsia="en-US"/>
              </w:rPr>
              <w:t>Nove vibracije d.o.o.</w:t>
            </w:r>
          </w:p>
        </w:tc>
        <w:tc>
          <w:tcPr>
            <w:tcW w:w="2620" w:type="dxa"/>
            <w:tcBorders>
              <w:top w:val="single" w:sz="4" w:space="0" w:color="auto"/>
              <w:left w:val="single" w:sz="4" w:space="0" w:color="auto"/>
              <w:bottom w:val="single" w:sz="4" w:space="0" w:color="auto"/>
              <w:right w:val="single" w:sz="4" w:space="0" w:color="auto"/>
            </w:tcBorders>
          </w:tcPr>
          <w:p w:rsidR="00116D27" w:rsidRDefault="00116D27" w:rsidP="00092E05">
            <w:pPr>
              <w:spacing w:line="256" w:lineRule="auto"/>
              <w:jc w:val="right"/>
              <w:rPr>
                <w:sz w:val="22"/>
                <w:szCs w:val="22"/>
                <w:lang w:eastAsia="en-US"/>
              </w:rPr>
            </w:pPr>
            <w:r>
              <w:rPr>
                <w:sz w:val="22"/>
                <w:szCs w:val="22"/>
                <w:lang w:eastAsia="en-US"/>
              </w:rPr>
              <w:t xml:space="preserve">20,00 </w:t>
            </w:r>
          </w:p>
        </w:tc>
        <w:tc>
          <w:tcPr>
            <w:tcW w:w="993" w:type="dxa"/>
            <w:tcBorders>
              <w:top w:val="single" w:sz="4" w:space="0" w:color="auto"/>
              <w:left w:val="single" w:sz="4" w:space="0" w:color="auto"/>
              <w:bottom w:val="single" w:sz="4" w:space="0" w:color="auto"/>
              <w:right w:val="single" w:sz="4" w:space="0" w:color="auto"/>
            </w:tcBorders>
          </w:tcPr>
          <w:p w:rsidR="00116D27" w:rsidRPr="0033115C" w:rsidRDefault="00116D27" w:rsidP="00092E05">
            <w:pPr>
              <w:spacing w:line="256" w:lineRule="auto"/>
              <w:jc w:val="right"/>
              <w:rPr>
                <w:sz w:val="22"/>
                <w:szCs w:val="22"/>
                <w:lang w:eastAsia="en-US"/>
              </w:rPr>
            </w:pPr>
            <w:r>
              <w:rPr>
                <w:sz w:val="22"/>
                <w:szCs w:val="22"/>
                <w:lang w:eastAsia="en-US"/>
              </w:rPr>
              <w:t>07.01.2025.</w:t>
            </w:r>
          </w:p>
        </w:tc>
      </w:tr>
    </w:tbl>
    <w:p w:rsidR="00DD6C14" w:rsidRPr="00216D44" w:rsidRDefault="0092238A" w:rsidP="002B6C00">
      <w:pPr>
        <w:pStyle w:val="box474667"/>
        <w:rPr>
          <w:b/>
          <w:u w:val="single"/>
        </w:rPr>
      </w:pPr>
      <w:r>
        <w:t>Sukladno čl. 57.</w:t>
      </w:r>
      <w:r w:rsidR="009E181B">
        <w:t xml:space="preserve"> </w:t>
      </w:r>
      <w:r w:rsidR="003D3223">
        <w:t xml:space="preserve">polugodišnji i </w:t>
      </w:r>
      <w:r w:rsidR="009E181B">
        <w:t xml:space="preserve">godišnji izvještaj o izvršenju financijskog plana proračunskog korisnika </w:t>
      </w:r>
      <w:r w:rsidR="009E181B" w:rsidRPr="0092238A">
        <w:rPr>
          <w:u w:val="single"/>
        </w:rPr>
        <w:t>objavljuje se na njegovim mrežnim stranicama</w:t>
      </w:r>
      <w:r w:rsidR="009E181B">
        <w:t xml:space="preserve"> u roku od 15 dana od dana usvajanja od strane upravljačkog tijela.</w:t>
      </w:r>
      <w:r w:rsidR="002B6C00">
        <w:t xml:space="preserve"> </w:t>
      </w:r>
      <w:r w:rsidR="009E181B">
        <w:t>Iznimno</w:t>
      </w:r>
      <w:r>
        <w:t xml:space="preserve">, </w:t>
      </w:r>
      <w:r w:rsidR="009E181B">
        <w:t xml:space="preserve">ako proračunski korisnik </w:t>
      </w:r>
      <w:r w:rsidR="009E181B" w:rsidRPr="003D3223">
        <w:rPr>
          <w:u w:val="single"/>
        </w:rPr>
        <w:t>nema upravljačko tijelo</w:t>
      </w:r>
      <w:r w:rsidR="009E181B">
        <w:t>, polugodišnji i godišnji izvještaj o izvršenju financijskog plana proračunskog korisnika objavljuje se na njegovim mrežnim stranicama</w:t>
      </w:r>
      <w:r w:rsidR="003D3223">
        <w:t xml:space="preserve">, </w:t>
      </w:r>
      <w:r>
        <w:t>u roku od 60 dana od dana</w:t>
      </w:r>
      <w:r w:rsidR="003D3223">
        <w:t xml:space="preserve"> kada bi se trebalo</w:t>
      </w:r>
      <w:r>
        <w:t xml:space="preserve"> podn</w:t>
      </w:r>
      <w:r w:rsidR="003D3223">
        <w:t>ijeti</w:t>
      </w:r>
      <w:r>
        <w:t xml:space="preserve"> upravljačkom tijelu</w:t>
      </w:r>
      <w:r w:rsidR="003D3223">
        <w:t xml:space="preserve"> na usvajanje </w:t>
      </w:r>
      <w:r w:rsidR="002B6C00">
        <w:t>(od</w:t>
      </w:r>
      <w:r w:rsidR="003D3223">
        <w:t xml:space="preserve"> 31.03.</w:t>
      </w:r>
      <w:r w:rsidR="002B6C00">
        <w:t>tekuće godine, za godišnji izvještaj za prethodnu godinu).</w:t>
      </w:r>
    </w:p>
    <w:p w:rsidR="00DD6C14" w:rsidRPr="00216D44" w:rsidRDefault="00DD6C14" w:rsidP="00043A3D">
      <w:pPr>
        <w:rPr>
          <w:b/>
          <w:u w:val="single"/>
        </w:rPr>
      </w:pPr>
      <w:r w:rsidRPr="00216D44">
        <w:rPr>
          <w:b/>
          <w:u w:val="single"/>
        </w:rPr>
        <w:t>OBRAZLOŽENJE:</w:t>
      </w:r>
    </w:p>
    <w:p w:rsidR="00DD6C14" w:rsidRPr="00216D44" w:rsidRDefault="00DD6C14" w:rsidP="00FD3900">
      <w:pPr>
        <w:jc w:val="center"/>
        <w:rPr>
          <w:b/>
          <w:u w:val="single"/>
        </w:rPr>
      </w:pPr>
    </w:p>
    <w:p w:rsidR="0026432E" w:rsidRDefault="00D01D7D" w:rsidP="00905280">
      <w:r w:rsidRPr="00905280">
        <w:t xml:space="preserve">Sukladno Članku 43. i 44. navedenog </w:t>
      </w:r>
      <w:r w:rsidR="00043A3D">
        <w:t>P</w:t>
      </w:r>
      <w:r w:rsidRPr="00905280">
        <w:t>ravilnika</w:t>
      </w:r>
      <w:r w:rsidR="00905280" w:rsidRPr="00905280">
        <w:t>, o</w:t>
      </w:r>
      <w:r w:rsidR="0026432E" w:rsidRPr="00905280">
        <w:t>brazloženje ostvarenja prihoda i primitaka, rashoda i izdataka dopunjuje podatke iz računa prihoda i rashoda i Računa financiranja, a obrazloženje se može dati na opisni, grafički ili kombinirani način</w:t>
      </w:r>
      <w:r w:rsidR="00905280">
        <w:t>.</w:t>
      </w:r>
    </w:p>
    <w:p w:rsidR="00905280" w:rsidRDefault="00905280" w:rsidP="00905280"/>
    <w:p w:rsidR="00905280" w:rsidRPr="00905280" w:rsidRDefault="00905280" w:rsidP="00905280">
      <w:r w:rsidRPr="00BC5BD2">
        <w:rPr>
          <w:b/>
          <w:u w:val="single"/>
        </w:rPr>
        <w:t xml:space="preserve">1. </w:t>
      </w:r>
      <w:r w:rsidR="008057C6" w:rsidRPr="00BC5BD2">
        <w:rPr>
          <w:b/>
          <w:u w:val="single"/>
        </w:rPr>
        <w:t>PRIHODI</w:t>
      </w:r>
      <w:r w:rsidRPr="0037495A">
        <w:rPr>
          <w:b/>
        </w:rPr>
        <w:t xml:space="preserve"> </w:t>
      </w:r>
      <w:r w:rsidRPr="0037495A">
        <w:t>poslovanja</w:t>
      </w:r>
      <w:r>
        <w:t xml:space="preserve"> (6) </w:t>
      </w:r>
      <w:r w:rsidR="0037495A">
        <w:t xml:space="preserve">ostvareni su </w:t>
      </w:r>
      <w:r>
        <w:t xml:space="preserve">u iznosu od </w:t>
      </w:r>
      <w:r w:rsidR="009123F5">
        <w:rPr>
          <w:b/>
        </w:rPr>
        <w:t>308.273,82</w:t>
      </w:r>
      <w:r w:rsidRPr="0037495A">
        <w:rPr>
          <w:b/>
        </w:rPr>
        <w:t xml:space="preserve"> EUR</w:t>
      </w:r>
      <w:r>
        <w:t>, kako slijedi:</w:t>
      </w:r>
    </w:p>
    <w:p w:rsidR="00B3691A" w:rsidRPr="00216D44" w:rsidRDefault="00B3691A" w:rsidP="00574517"/>
    <w:p w:rsidR="009123F5" w:rsidRDefault="00905280" w:rsidP="009123F5">
      <w:r>
        <w:rPr>
          <w:b/>
          <w:u w:val="single"/>
        </w:rPr>
        <w:t xml:space="preserve">a.) </w:t>
      </w:r>
      <w:r w:rsidR="00216D44" w:rsidRPr="00216D44">
        <w:rPr>
          <w:b/>
          <w:u w:val="single"/>
        </w:rPr>
        <w:t>6331</w:t>
      </w:r>
      <w:r w:rsidR="0037495A">
        <w:rPr>
          <w:b/>
          <w:u w:val="single"/>
        </w:rPr>
        <w:t xml:space="preserve"> </w:t>
      </w:r>
      <w:r w:rsidR="00216D44" w:rsidRPr="00216D44">
        <w:rPr>
          <w:u w:val="single"/>
        </w:rPr>
        <w:t xml:space="preserve">- tekuće pomoći proračunu iz drugih proračuna </w:t>
      </w:r>
      <w:r w:rsidR="009123F5">
        <w:rPr>
          <w:u w:val="single"/>
        </w:rPr>
        <w:t>-</w:t>
      </w:r>
      <w:r w:rsidR="009123F5" w:rsidRPr="00AC63D4">
        <w:rPr>
          <w:u w:val="single"/>
        </w:rPr>
        <w:t xml:space="preserve"> Centar za kulturu </w:t>
      </w:r>
      <w:r w:rsidR="009123F5" w:rsidRPr="00AC63D4">
        <w:t xml:space="preserve"> je ostvario prihod </w:t>
      </w:r>
      <w:r w:rsidR="009123F5">
        <w:t xml:space="preserve">od tekućih </w:t>
      </w:r>
      <w:r w:rsidR="009123F5" w:rsidRPr="00AC63D4">
        <w:t>pomoći iz državnog proračuna</w:t>
      </w:r>
      <w:r w:rsidR="009123F5">
        <w:t xml:space="preserve"> (Ministarstva kulture i medija)</w:t>
      </w:r>
      <w:r w:rsidR="009123F5" w:rsidRPr="007C7888">
        <w:t xml:space="preserve"> </w:t>
      </w:r>
      <w:r w:rsidR="009123F5">
        <w:t xml:space="preserve">u iznosu </w:t>
      </w:r>
      <w:r w:rsidR="009123F5" w:rsidRPr="00AC63D4">
        <w:t>od</w:t>
      </w:r>
      <w:r w:rsidR="009123F5">
        <w:t xml:space="preserve"> ukupno </w:t>
      </w:r>
      <w:r w:rsidR="009123F5" w:rsidRPr="009123F5">
        <w:rPr>
          <w:b/>
        </w:rPr>
        <w:t>7.080,00 eura</w:t>
      </w:r>
      <w:r w:rsidR="009123F5">
        <w:t>, kako slijedi:</w:t>
      </w:r>
      <w:r w:rsidR="009123F5" w:rsidRPr="00AC63D4">
        <w:t xml:space="preserve"> </w:t>
      </w:r>
    </w:p>
    <w:p w:rsidR="009123F5" w:rsidRDefault="009123F5" w:rsidP="009123F5">
      <w:r w:rsidRPr="009123F5">
        <w:rPr>
          <w:b/>
        </w:rPr>
        <w:t xml:space="preserve">- </w:t>
      </w:r>
      <w:r w:rsidRPr="00AC63D4">
        <w:t xml:space="preserve">za </w:t>
      </w:r>
      <w:r>
        <w:t xml:space="preserve">manifestaciju Trag u beskraju 4.000,00 eura, </w:t>
      </w:r>
    </w:p>
    <w:p w:rsidR="009123F5" w:rsidRDefault="009123F5" w:rsidP="009123F5">
      <w:r>
        <w:t xml:space="preserve">- </w:t>
      </w:r>
      <w:r>
        <w:t>izložbu Olivera Dragojevića</w:t>
      </w:r>
      <w:r w:rsidRPr="00AC63D4">
        <w:t xml:space="preserve"> </w:t>
      </w:r>
      <w:r>
        <w:t xml:space="preserve">1.680,00 eura i </w:t>
      </w:r>
    </w:p>
    <w:p w:rsidR="009123F5" w:rsidRDefault="009123F5" w:rsidP="009123F5">
      <w:r>
        <w:t xml:space="preserve">- </w:t>
      </w:r>
      <w:r>
        <w:t>konzervatorsko - restauratorski zahvat 1.400,00 eura.</w:t>
      </w:r>
    </w:p>
    <w:p w:rsidR="00905280" w:rsidRDefault="00905280" w:rsidP="00216D44">
      <w:pPr>
        <w:ind w:left="360"/>
      </w:pPr>
    </w:p>
    <w:p w:rsidR="009123F5" w:rsidRDefault="0087110C" w:rsidP="009123F5">
      <w:r>
        <w:rPr>
          <w:b/>
          <w:u w:val="single"/>
        </w:rPr>
        <w:t xml:space="preserve">b.) </w:t>
      </w:r>
      <w:r w:rsidR="00216D44" w:rsidRPr="00216D44">
        <w:rPr>
          <w:b/>
          <w:u w:val="single"/>
        </w:rPr>
        <w:t>6332</w:t>
      </w:r>
      <w:r w:rsidR="0037495A">
        <w:rPr>
          <w:b/>
          <w:u w:val="single"/>
        </w:rPr>
        <w:t xml:space="preserve"> </w:t>
      </w:r>
      <w:r w:rsidR="00216D44" w:rsidRPr="00216D44">
        <w:rPr>
          <w:u w:val="single"/>
        </w:rPr>
        <w:t>- kapitalne pomoći proračunu iz drugih proračuna</w:t>
      </w:r>
      <w:r>
        <w:rPr>
          <w:u w:val="single"/>
        </w:rPr>
        <w:t xml:space="preserve"> </w:t>
      </w:r>
      <w:r w:rsidR="009123F5">
        <w:rPr>
          <w:u w:val="single"/>
        </w:rPr>
        <w:t>-</w:t>
      </w:r>
      <w:r w:rsidR="009123F5" w:rsidRPr="00AC63D4">
        <w:rPr>
          <w:u w:val="single"/>
        </w:rPr>
        <w:t xml:space="preserve"> Centar za kulturu </w:t>
      </w:r>
      <w:r w:rsidR="009123F5" w:rsidRPr="00AC63D4">
        <w:t xml:space="preserve"> je ostvario prihod od</w:t>
      </w:r>
      <w:r w:rsidR="009123F5">
        <w:t xml:space="preserve"> Ministarstva kulture i medija u ukupnom iznosu od </w:t>
      </w:r>
      <w:r w:rsidR="009123F5" w:rsidRPr="009123F5">
        <w:rPr>
          <w:b/>
        </w:rPr>
        <w:t>86.659,68 eura</w:t>
      </w:r>
      <w:r w:rsidR="009123F5">
        <w:t>, koji se odnosi na</w:t>
      </w:r>
      <w:r w:rsidR="009123F5" w:rsidRPr="00AC63D4">
        <w:t xml:space="preserve"> </w:t>
      </w:r>
      <w:r w:rsidR="009123F5">
        <w:t xml:space="preserve">V. fazu </w:t>
      </w:r>
      <w:r w:rsidR="009123F5" w:rsidRPr="00AC63D4">
        <w:t>uređenj</w:t>
      </w:r>
      <w:r w:rsidR="009123F5">
        <w:t>a</w:t>
      </w:r>
      <w:r w:rsidR="009123F5" w:rsidRPr="00AC63D4">
        <w:t xml:space="preserve"> prostora memorijalne zbirke Olivera Dragojevića</w:t>
      </w:r>
      <w:r w:rsidR="009123F5">
        <w:t>.</w:t>
      </w:r>
    </w:p>
    <w:p w:rsidR="0037495A" w:rsidRDefault="0037495A" w:rsidP="00905280"/>
    <w:p w:rsidR="0037495A" w:rsidRDefault="0037495A" w:rsidP="00905280">
      <w:r w:rsidRPr="0037495A">
        <w:rPr>
          <w:b/>
          <w:u w:val="single"/>
        </w:rPr>
        <w:t>c.) 6413</w:t>
      </w:r>
      <w:r>
        <w:rPr>
          <w:u w:val="single"/>
        </w:rPr>
        <w:t xml:space="preserve"> </w:t>
      </w:r>
      <w:r w:rsidRPr="0037495A">
        <w:rPr>
          <w:u w:val="single"/>
        </w:rPr>
        <w:t>-Kamate na depozite po viđenju</w:t>
      </w:r>
      <w:r>
        <w:t xml:space="preserve"> - ostvarene su u iznosu od </w:t>
      </w:r>
      <w:r w:rsidR="009123F5">
        <w:rPr>
          <w:b/>
        </w:rPr>
        <w:t>4,94</w:t>
      </w:r>
      <w:r w:rsidRPr="007301E5">
        <w:rPr>
          <w:b/>
        </w:rPr>
        <w:t xml:space="preserve"> eura</w:t>
      </w:r>
      <w:r>
        <w:t xml:space="preserve">, dok su godinu ranije bile </w:t>
      </w:r>
      <w:r w:rsidR="009123F5">
        <w:t>2,87</w:t>
      </w:r>
      <w:r>
        <w:t xml:space="preserve"> eura.</w:t>
      </w:r>
    </w:p>
    <w:p w:rsidR="00905280" w:rsidRPr="00216D44" w:rsidRDefault="00905280" w:rsidP="00216D44">
      <w:pPr>
        <w:ind w:left="360"/>
        <w:rPr>
          <w:u w:val="single"/>
        </w:rPr>
      </w:pPr>
    </w:p>
    <w:p w:rsidR="00AA260C" w:rsidRDefault="0037495A" w:rsidP="00AA260C">
      <w:r>
        <w:rPr>
          <w:b/>
          <w:u w:val="single"/>
        </w:rPr>
        <w:t>d</w:t>
      </w:r>
      <w:r w:rsidR="0087110C">
        <w:rPr>
          <w:b/>
          <w:u w:val="single"/>
        </w:rPr>
        <w:t>.)</w:t>
      </w:r>
      <w:r>
        <w:rPr>
          <w:b/>
          <w:u w:val="single"/>
        </w:rPr>
        <w:t xml:space="preserve"> </w:t>
      </w:r>
      <w:r w:rsidR="00216D44" w:rsidRPr="00216D44">
        <w:rPr>
          <w:b/>
          <w:u w:val="single"/>
        </w:rPr>
        <w:t>6526</w:t>
      </w:r>
      <w:r>
        <w:rPr>
          <w:b/>
          <w:u w:val="single"/>
        </w:rPr>
        <w:t xml:space="preserve"> </w:t>
      </w:r>
      <w:r w:rsidR="00216D44" w:rsidRPr="00216D44">
        <w:rPr>
          <w:u w:val="single"/>
        </w:rPr>
        <w:t>- ostali nespomenuti prihodi</w:t>
      </w:r>
      <w:r w:rsidR="007301E5">
        <w:rPr>
          <w:u w:val="single"/>
        </w:rPr>
        <w:t xml:space="preserve"> </w:t>
      </w:r>
      <w:r w:rsidR="0087110C">
        <w:t xml:space="preserve">- </w:t>
      </w:r>
      <w:r w:rsidR="00AA260C">
        <w:t xml:space="preserve">Centar za kulturu je ostvario prihode od prodaje ulaznica u iznosu od </w:t>
      </w:r>
      <w:r w:rsidR="00AA260C" w:rsidRPr="004D53AF">
        <w:rPr>
          <w:b/>
        </w:rPr>
        <w:t>53.583,50 eura</w:t>
      </w:r>
      <w:r w:rsidR="00AA260C">
        <w:t>, dok su godinu ranije spomenuti prihodi bili 44.932,00 eura. Cijena ulaznica za posjet Veloj spili do 31.07.24. je iznosila 2,00 eura, a od 01.08.24. je povećana na iznos od 4,00 eura. Velu Spilu posjeti godišnje više od 12.000 posjetitelja.</w:t>
      </w:r>
    </w:p>
    <w:p w:rsidR="004D53AF" w:rsidRDefault="004D53AF" w:rsidP="00AA260C">
      <w:pPr>
        <w:rPr>
          <w:b/>
          <w:u w:val="single"/>
        </w:rPr>
      </w:pPr>
    </w:p>
    <w:p w:rsidR="00216D44" w:rsidRPr="00216D44" w:rsidRDefault="004D53AF" w:rsidP="00AA260C">
      <w:pPr>
        <w:rPr>
          <w:u w:val="single"/>
        </w:rPr>
      </w:pPr>
      <w:r w:rsidRPr="004D53AF">
        <w:rPr>
          <w:b/>
          <w:u w:val="single"/>
        </w:rPr>
        <w:t>e) 6631</w:t>
      </w:r>
      <w:r>
        <w:rPr>
          <w:u w:val="single"/>
        </w:rPr>
        <w:t>- Tekuće donacije</w:t>
      </w:r>
      <w:r w:rsidRPr="004D53AF">
        <w:t xml:space="preserve"> </w:t>
      </w:r>
      <w:r>
        <w:t>- ostvarene su</w:t>
      </w:r>
      <w:r>
        <w:t xml:space="preserve"> u iznosu od </w:t>
      </w:r>
      <w:r w:rsidRPr="004D53AF">
        <w:rPr>
          <w:b/>
        </w:rPr>
        <w:t>9.130,00 eura</w:t>
      </w:r>
      <w:r>
        <w:t xml:space="preserve"> (od fizičkih i pravnih osoba za manifestaciju Trag u beskraju i namjenski su utrošene)</w:t>
      </w:r>
      <w:r>
        <w:t>.</w:t>
      </w:r>
    </w:p>
    <w:p w:rsidR="004D53AF" w:rsidRDefault="004D53AF" w:rsidP="0087110C">
      <w:pPr>
        <w:rPr>
          <w:b/>
          <w:u w:val="single"/>
        </w:rPr>
      </w:pPr>
    </w:p>
    <w:p w:rsidR="00AA260C" w:rsidRDefault="004D53AF" w:rsidP="0087110C">
      <w:r>
        <w:rPr>
          <w:b/>
          <w:u w:val="single"/>
        </w:rPr>
        <w:t>f</w:t>
      </w:r>
      <w:r w:rsidR="0087110C">
        <w:rPr>
          <w:b/>
          <w:u w:val="single"/>
        </w:rPr>
        <w:t xml:space="preserve">.) </w:t>
      </w:r>
      <w:r w:rsidR="00216D44" w:rsidRPr="00216D44">
        <w:rPr>
          <w:b/>
          <w:u w:val="single"/>
        </w:rPr>
        <w:t>6711</w:t>
      </w:r>
      <w:r w:rsidR="0037495A">
        <w:rPr>
          <w:b/>
          <w:u w:val="single"/>
        </w:rPr>
        <w:t xml:space="preserve"> </w:t>
      </w:r>
      <w:r w:rsidR="00216D44" w:rsidRPr="00216D44">
        <w:rPr>
          <w:u w:val="single"/>
        </w:rPr>
        <w:t>- prihodi iz nadležnog proračuna</w:t>
      </w:r>
      <w:r w:rsidR="0087110C">
        <w:rPr>
          <w:u w:val="single"/>
        </w:rPr>
        <w:t xml:space="preserve"> </w:t>
      </w:r>
      <w:r w:rsidR="0087110C" w:rsidRPr="00043A3D">
        <w:t xml:space="preserve">- </w:t>
      </w:r>
      <w:r w:rsidR="0087110C" w:rsidRPr="0087110C">
        <w:t xml:space="preserve">na dan 31.12.24. su ostvareni u iznosu od </w:t>
      </w:r>
      <w:r w:rsidR="00AA260C">
        <w:rPr>
          <w:b/>
        </w:rPr>
        <w:t>151.815,70</w:t>
      </w:r>
      <w:r w:rsidR="0087110C" w:rsidRPr="0037495A">
        <w:rPr>
          <w:b/>
        </w:rPr>
        <w:t xml:space="preserve"> eura</w:t>
      </w:r>
      <w:r w:rsidR="0087110C" w:rsidRPr="0087110C">
        <w:t xml:space="preserve">, dok su godinu ranije bili </w:t>
      </w:r>
      <w:r w:rsidR="00AA260C">
        <w:t>217.746,77</w:t>
      </w:r>
      <w:r w:rsidR="0087110C" w:rsidRPr="0087110C">
        <w:t xml:space="preserve"> eura. </w:t>
      </w:r>
      <w:r w:rsidR="00AA260C">
        <w:t>Smanjeni</w:t>
      </w:r>
      <w:r w:rsidR="0087110C" w:rsidRPr="0087110C">
        <w:t xml:space="preserve"> su za </w:t>
      </w:r>
      <w:r w:rsidR="00AA260C">
        <w:t>15,84</w:t>
      </w:r>
      <w:r w:rsidR="0087110C" w:rsidRPr="0087110C">
        <w:t xml:space="preserve"> %</w:t>
      </w:r>
      <w:r w:rsidR="00AA260C">
        <w:t xml:space="preserve"> iz razloga što je manje potrošeno na uređenje zgrade za memorijalnu zbirku Olivera Dragojevića. Prihodi iz općinskog proračuna su utrošeni za financiranje redovnih rashoda poslovanja (46.106,97 eura), za uređenje zgrade za memorijalnu zbirku Olivera Dragojevića (43.691,73 eura), za Manifestaciju Trag u beskraju (42.194,88 eura) te za kulturna događanja - koncerte (19.822,12 eura).</w:t>
      </w:r>
      <w:r w:rsidR="008057C6">
        <w:t xml:space="preserve"> </w:t>
      </w:r>
    </w:p>
    <w:p w:rsidR="00A41E68" w:rsidRDefault="00A41E68" w:rsidP="0087110C"/>
    <w:p w:rsidR="008057C6" w:rsidRDefault="008057C6" w:rsidP="008057C6">
      <w:pPr>
        <w:pStyle w:val="BodyText"/>
        <w:tabs>
          <w:tab w:val="right" w:leader="dot" w:pos="9072"/>
        </w:tabs>
        <w:rPr>
          <w:b/>
        </w:rPr>
      </w:pPr>
      <w:r w:rsidRPr="00957BF2">
        <w:rPr>
          <w:b/>
          <w:u w:val="single"/>
        </w:rPr>
        <w:t>2. RASHODI</w:t>
      </w:r>
      <w:r w:rsidRPr="00B83764">
        <w:rPr>
          <w:b/>
        </w:rPr>
        <w:t xml:space="preserve"> </w:t>
      </w:r>
      <w:r>
        <w:rPr>
          <w:b/>
        </w:rPr>
        <w:t>se sastoje od rashoda poslovanja i rashoda za nabavu nefinancijske imovine.</w:t>
      </w:r>
    </w:p>
    <w:p w:rsidR="008057C6" w:rsidRDefault="008057C6" w:rsidP="008057C6">
      <w:pPr>
        <w:pStyle w:val="BodyText"/>
        <w:tabs>
          <w:tab w:val="right" w:leader="dot" w:pos="9072"/>
        </w:tabs>
        <w:rPr>
          <w:b/>
        </w:rPr>
      </w:pPr>
    </w:p>
    <w:p w:rsidR="008057C6" w:rsidRPr="00974DA9" w:rsidRDefault="008057C6" w:rsidP="008057C6">
      <w:r w:rsidRPr="00974DA9">
        <w:t>U 202</w:t>
      </w:r>
      <w:r>
        <w:t>4</w:t>
      </w:r>
      <w:r w:rsidRPr="00974DA9">
        <w:t xml:space="preserve">.g. </w:t>
      </w:r>
      <w:r w:rsidR="00043A3D">
        <w:t>izvršeni</w:t>
      </w:r>
      <w:r w:rsidRPr="00974DA9">
        <w:t xml:space="preserve"> su ukupni </w:t>
      </w:r>
      <w:r>
        <w:t>rashodi</w:t>
      </w:r>
      <w:r w:rsidRPr="00974DA9">
        <w:t xml:space="preserve"> </w:t>
      </w:r>
      <w:r>
        <w:t>(razred 3+4)</w:t>
      </w:r>
      <w:r w:rsidRPr="00974DA9">
        <w:t xml:space="preserve"> u iznosu od </w:t>
      </w:r>
      <w:r w:rsidR="00AA260C">
        <w:rPr>
          <w:b/>
        </w:rPr>
        <w:t>300.881,05</w:t>
      </w:r>
      <w:r w:rsidRPr="003420ED">
        <w:rPr>
          <w:b/>
        </w:rPr>
        <w:t xml:space="preserve"> EUR</w:t>
      </w:r>
      <w:r w:rsidRPr="00974DA9">
        <w:t>, dok su u istom razdoblju 202</w:t>
      </w:r>
      <w:r>
        <w:t>3</w:t>
      </w:r>
      <w:r w:rsidRPr="00974DA9">
        <w:t xml:space="preserve">.g. iznosili </w:t>
      </w:r>
      <w:r w:rsidR="00AA260C">
        <w:t>411.912,64</w:t>
      </w:r>
      <w:r>
        <w:t xml:space="preserve"> EUR. </w:t>
      </w:r>
      <w:r w:rsidR="00040E1C">
        <w:t>Manji su</w:t>
      </w:r>
      <w:r w:rsidRPr="00974DA9">
        <w:t xml:space="preserve"> za </w:t>
      </w:r>
      <w:r w:rsidR="00040E1C">
        <w:t>26,96</w:t>
      </w:r>
      <w:r>
        <w:t xml:space="preserve"> </w:t>
      </w:r>
      <w:r w:rsidRPr="00974DA9">
        <w:t>% 202</w:t>
      </w:r>
      <w:r>
        <w:t>4</w:t>
      </w:r>
      <w:r w:rsidRPr="00974DA9">
        <w:t>. u odnosu na 202</w:t>
      </w:r>
      <w:r>
        <w:t>3</w:t>
      </w:r>
      <w:r w:rsidRPr="00974DA9">
        <w:t>. godinu.</w:t>
      </w:r>
    </w:p>
    <w:p w:rsidR="008057C6" w:rsidRDefault="008057C6" w:rsidP="008057C6">
      <w:pPr>
        <w:pStyle w:val="BodyText"/>
        <w:tabs>
          <w:tab w:val="right" w:leader="dot" w:pos="9072"/>
        </w:tabs>
        <w:rPr>
          <w:b/>
        </w:rPr>
      </w:pPr>
    </w:p>
    <w:p w:rsidR="008057C6" w:rsidRDefault="008057C6" w:rsidP="008057C6">
      <w:pPr>
        <w:pStyle w:val="BodyText"/>
        <w:tabs>
          <w:tab w:val="right" w:leader="dot" w:pos="9072"/>
        </w:tabs>
        <w:rPr>
          <w:b/>
        </w:rPr>
      </w:pPr>
      <w:r>
        <w:rPr>
          <w:b/>
        </w:rPr>
        <w:t xml:space="preserve">2.A. </w:t>
      </w:r>
      <w:r w:rsidRPr="001E0240">
        <w:rPr>
          <w:b/>
        </w:rPr>
        <w:t>RASHODI</w:t>
      </w:r>
      <w:r>
        <w:t xml:space="preserve"> </w:t>
      </w:r>
      <w:r w:rsidRPr="001E0240">
        <w:rPr>
          <w:b/>
        </w:rPr>
        <w:t>poslovanja (razred 3)</w:t>
      </w:r>
      <w:r>
        <w:rPr>
          <w:b/>
        </w:rPr>
        <w:t xml:space="preserve"> su iznosili </w:t>
      </w:r>
      <w:r w:rsidR="00040E1C">
        <w:rPr>
          <w:b/>
        </w:rPr>
        <w:t>169.822,21</w:t>
      </w:r>
      <w:r>
        <w:rPr>
          <w:b/>
        </w:rPr>
        <w:t xml:space="preserve"> EUR</w:t>
      </w:r>
      <w:r w:rsidRPr="008057C6">
        <w:t xml:space="preserve"> i</w:t>
      </w:r>
      <w:r>
        <w:rPr>
          <w:b/>
        </w:rPr>
        <w:t xml:space="preserve"> </w:t>
      </w:r>
      <w:r w:rsidRPr="00B83764">
        <w:t xml:space="preserve">veći za </w:t>
      </w:r>
      <w:r w:rsidR="00040E1C">
        <w:t>7,09</w:t>
      </w:r>
      <w:r>
        <w:t xml:space="preserve"> </w:t>
      </w:r>
      <w:r w:rsidRPr="00B83764">
        <w:t>%</w:t>
      </w:r>
      <w:r>
        <w:t xml:space="preserve"> u</w:t>
      </w:r>
      <w:r w:rsidRPr="00B83764">
        <w:t xml:space="preserve"> 202</w:t>
      </w:r>
      <w:r>
        <w:t>4</w:t>
      </w:r>
      <w:r w:rsidRPr="00B83764">
        <w:t xml:space="preserve">. godini </w:t>
      </w:r>
      <w:r>
        <w:t>u odnosu na godinu ranije.</w:t>
      </w:r>
      <w:r w:rsidR="0037495A">
        <w:t xml:space="preserve"> Sastoje se od:</w:t>
      </w:r>
    </w:p>
    <w:p w:rsidR="00E77CFC" w:rsidRDefault="00E77CFC" w:rsidP="008057C6">
      <w:pPr>
        <w:rPr>
          <w:b/>
          <w:u w:val="single"/>
        </w:rPr>
      </w:pPr>
    </w:p>
    <w:p w:rsidR="00040E1C" w:rsidRDefault="00E77CFC" w:rsidP="00040E1C">
      <w:r>
        <w:rPr>
          <w:b/>
          <w:u w:val="single"/>
        </w:rPr>
        <w:t>a</w:t>
      </w:r>
      <w:r w:rsidRPr="00A37AE3">
        <w:rPr>
          <w:b/>
          <w:u w:val="single"/>
        </w:rPr>
        <w:t>. Rashodi za zaposlene</w:t>
      </w:r>
      <w:r w:rsidRPr="005D290C">
        <w:rPr>
          <w:b/>
          <w:u w:val="single"/>
        </w:rPr>
        <w:t xml:space="preserve"> - 31 </w:t>
      </w:r>
      <w:r w:rsidRPr="00B83764">
        <w:t>u 202</w:t>
      </w:r>
      <w:r>
        <w:t>4</w:t>
      </w:r>
      <w:r w:rsidRPr="00B83764">
        <w:t xml:space="preserve">. su </w:t>
      </w:r>
      <w:r w:rsidR="0037495A">
        <w:t xml:space="preserve">iznosili </w:t>
      </w:r>
      <w:r w:rsidR="00040E1C">
        <w:rPr>
          <w:b/>
        </w:rPr>
        <w:t>58.150,81</w:t>
      </w:r>
      <w:r w:rsidRPr="00032EFF">
        <w:rPr>
          <w:b/>
        </w:rPr>
        <w:t xml:space="preserve"> EUR</w:t>
      </w:r>
      <w:r w:rsidRPr="00B83764">
        <w:t xml:space="preserve">, dok su godinu ranije </w:t>
      </w:r>
      <w:r w:rsidR="0037495A">
        <w:t xml:space="preserve">bili </w:t>
      </w:r>
      <w:r w:rsidR="00040E1C">
        <w:rPr>
          <w:b/>
        </w:rPr>
        <w:t>61.521,47</w:t>
      </w:r>
      <w:r w:rsidRPr="00032EFF">
        <w:rPr>
          <w:b/>
        </w:rPr>
        <w:t xml:space="preserve"> EUR</w:t>
      </w:r>
      <w:r>
        <w:rPr>
          <w:b/>
        </w:rPr>
        <w:t>.</w:t>
      </w:r>
      <w:r w:rsidR="0037495A" w:rsidRPr="0037495A">
        <w:t xml:space="preserve"> </w:t>
      </w:r>
      <w:r w:rsidR="00040E1C">
        <w:t>Rashodi su u 2024. manji u odnosu na godinu ranije, iako je povećana osnovica za obračun plaće i iznos naknada, iz razloga što nisu popunjena sva radna mjesta bilo radi odlaska u mirovinu, dugotrajnog bolovanja i otkaza.</w:t>
      </w:r>
    </w:p>
    <w:p w:rsidR="0037495A" w:rsidRDefault="0037495A" w:rsidP="0037495A"/>
    <w:p w:rsidR="00E77CFC" w:rsidRPr="00296005" w:rsidRDefault="00E77CFC" w:rsidP="00E77CFC">
      <w:r w:rsidRPr="00296005">
        <w:t xml:space="preserve">Rashodi za zaposlene se sastoje od bruto plaća (311), doprinosa na plaće (313) i ostalih rashoda za zaposlene (naknade zaposlenima) (312). </w:t>
      </w:r>
    </w:p>
    <w:p w:rsidR="00E77CFC" w:rsidRDefault="00E77CFC" w:rsidP="008057C6">
      <w:pPr>
        <w:rPr>
          <w:b/>
        </w:rPr>
      </w:pPr>
    </w:p>
    <w:p w:rsidR="00E77CFC" w:rsidRDefault="00E77CFC" w:rsidP="00E77CFC">
      <w:r>
        <w:t>Od plaće za srpanj 2024. je u primjeni nova osnovica za obračun plaće u iznosu od 947,18 eura, dok je od 01.01.2024. u primjeni bila osnovica za obračun plaća koja je iznosila 902,08 eura, a</w:t>
      </w:r>
      <w:r w:rsidRPr="00984D32">
        <w:t xml:space="preserve"> </w:t>
      </w:r>
      <w:r>
        <w:t>do 31.12.23. je bila 802,24 eura.</w:t>
      </w:r>
    </w:p>
    <w:p w:rsidR="00E77CFC" w:rsidRDefault="00E77CFC" w:rsidP="00E77CFC">
      <w:r>
        <w:t>Povećane su i naknade zaposlenima.</w:t>
      </w:r>
    </w:p>
    <w:p w:rsidR="00E77CFC" w:rsidRPr="00216D44" w:rsidRDefault="00E77CFC" w:rsidP="00E77CFC">
      <w:r w:rsidRPr="00216D44">
        <w:t xml:space="preserve">U 2024.g. isplaćen je regres u iznosu od 300,00 eura, a u 2023.g. regres je iznosio 270,00 eura. U 2024.g. isplaćena je Uskrsnica u iznosu 80,00 eura, a u 2023.g. isplaćena je u iznosu 60,00 eura. U 2024.g. isplaćuje se mjesečno 66,36 eura naknade za topli obrok, </w:t>
      </w:r>
      <w:r w:rsidR="00296005">
        <w:t>a od 05.07.24. je povećana na 100,00 eura mjesečno</w:t>
      </w:r>
      <w:r w:rsidRPr="00216D44">
        <w:t xml:space="preserve">, </w:t>
      </w:r>
      <w:r w:rsidR="00296005">
        <w:t>dok u</w:t>
      </w:r>
      <w:r w:rsidRPr="00216D44">
        <w:t xml:space="preserve"> 2023.g. ta naknada nije isplaćivana.</w:t>
      </w:r>
    </w:p>
    <w:p w:rsidR="00E77CFC" w:rsidRPr="00216D44" w:rsidRDefault="00E77CFC" w:rsidP="00E77CFC">
      <w:r w:rsidRPr="00216D44">
        <w:t xml:space="preserve">    </w:t>
      </w:r>
    </w:p>
    <w:p w:rsidR="000F0D22" w:rsidRDefault="000F0D22" w:rsidP="000F0D22">
      <w:r>
        <w:rPr>
          <w:b/>
          <w:u w:val="single"/>
        </w:rPr>
        <w:t xml:space="preserve">b. Materijalni rashodi </w:t>
      </w:r>
      <w:r w:rsidR="005D290C">
        <w:rPr>
          <w:b/>
          <w:u w:val="single"/>
        </w:rPr>
        <w:t>-</w:t>
      </w:r>
      <w:r w:rsidR="00E77CFC" w:rsidRPr="00216D44">
        <w:rPr>
          <w:b/>
          <w:u w:val="single"/>
        </w:rPr>
        <w:t>32</w:t>
      </w:r>
      <w:r w:rsidR="00E77CFC" w:rsidRPr="000F0D22">
        <w:t>-</w:t>
      </w:r>
      <w:r>
        <w:t xml:space="preserve"> u 2024. su iznosili </w:t>
      </w:r>
      <w:r w:rsidR="00931A71">
        <w:rPr>
          <w:b/>
        </w:rPr>
        <w:t xml:space="preserve">110.526,21 </w:t>
      </w:r>
      <w:r w:rsidRPr="005D290C">
        <w:rPr>
          <w:b/>
        </w:rPr>
        <w:t>eura</w:t>
      </w:r>
      <w:r>
        <w:t xml:space="preserve">, dok su godinu ranije bili  </w:t>
      </w:r>
      <w:r w:rsidR="00931A71">
        <w:t>96.139,33</w:t>
      </w:r>
      <w:r>
        <w:t xml:space="preserve"> eura. Sastoje se od naknada troškova zaposlenima, rashoda za materijal i energiju</w:t>
      </w:r>
      <w:r w:rsidR="00D71A5A">
        <w:t>, rashoda za usluge i ostalih nespomenutih rashoda poslovanja.</w:t>
      </w:r>
      <w:r w:rsidR="00EF59CF">
        <w:t xml:space="preserve"> Neki od njih su:</w:t>
      </w:r>
    </w:p>
    <w:p w:rsidR="00931A71" w:rsidRDefault="00931A71" w:rsidP="000F0D22"/>
    <w:p w:rsidR="0050581E" w:rsidRDefault="0050581E" w:rsidP="00D71A5A">
      <w:pPr>
        <w:ind w:left="360"/>
      </w:pPr>
      <w:r>
        <w:rPr>
          <w:b/>
          <w:u w:val="single"/>
        </w:rPr>
        <w:t>- 323</w:t>
      </w:r>
      <w:r w:rsidR="00AC06DA">
        <w:rPr>
          <w:b/>
          <w:u w:val="single"/>
        </w:rPr>
        <w:t>3</w:t>
      </w:r>
      <w:r>
        <w:rPr>
          <w:b/>
          <w:u w:val="single"/>
        </w:rPr>
        <w:t xml:space="preserve"> </w:t>
      </w:r>
      <w:r w:rsidRPr="0050581E">
        <w:rPr>
          <w:u w:val="single"/>
        </w:rPr>
        <w:t xml:space="preserve">- </w:t>
      </w:r>
      <w:r w:rsidR="00AC06DA">
        <w:rPr>
          <w:u w:val="single"/>
        </w:rPr>
        <w:t>Usluge promidžbe i informiranja</w:t>
      </w:r>
      <w:r>
        <w:rPr>
          <w:u w:val="single"/>
        </w:rPr>
        <w:t xml:space="preserve"> </w:t>
      </w:r>
      <w:r w:rsidRPr="0050581E">
        <w:t xml:space="preserve">- u 2024. je utrošeno </w:t>
      </w:r>
      <w:r w:rsidR="00AC06DA">
        <w:t>99.559,99</w:t>
      </w:r>
      <w:r w:rsidRPr="0050581E">
        <w:t xml:space="preserve"> eura</w:t>
      </w:r>
      <w:r w:rsidR="00AC06DA">
        <w:t>, a u godini ranije 88.335,57 eura.</w:t>
      </w:r>
      <w:r w:rsidRPr="0050581E">
        <w:t xml:space="preserve"> </w:t>
      </w:r>
      <w:r w:rsidR="00AC06DA">
        <w:t>Odnose se na Manifestaciju Trag u beskraju, kulturna događanja i izložbe.</w:t>
      </w:r>
    </w:p>
    <w:p w:rsidR="00AC06DA" w:rsidRDefault="00AC06DA" w:rsidP="00D71A5A">
      <w:pPr>
        <w:ind w:left="360"/>
      </w:pPr>
      <w:r w:rsidRPr="00AC06DA">
        <w:rPr>
          <w:u w:val="single"/>
        </w:rPr>
        <w:t xml:space="preserve">- </w:t>
      </w:r>
      <w:r w:rsidRPr="00AC06DA">
        <w:rPr>
          <w:b/>
          <w:u w:val="single"/>
        </w:rPr>
        <w:t>3239</w:t>
      </w:r>
      <w:r w:rsidRPr="00AC06DA">
        <w:rPr>
          <w:u w:val="single"/>
        </w:rPr>
        <w:t xml:space="preserve"> - Ostale usluge</w:t>
      </w:r>
      <w:r>
        <w:t xml:space="preserve"> - na njih je potrošeno 4.384,49 eura, dok je godinu ranije utrošeno 1.472,00 eura. Najveći dio odnosi se na usluge restauratorsko-konzervatorskog zahvatana odabranim djelima iz fundusa CZK.</w:t>
      </w:r>
    </w:p>
    <w:p w:rsidR="00AC06DA" w:rsidRPr="0050581E" w:rsidRDefault="00AC06DA" w:rsidP="00D71A5A">
      <w:pPr>
        <w:ind w:left="360"/>
      </w:pPr>
      <w:r w:rsidRPr="00EF59CF">
        <w:rPr>
          <w:u w:val="single"/>
        </w:rPr>
        <w:t xml:space="preserve">- </w:t>
      </w:r>
      <w:r w:rsidRPr="00EF59CF">
        <w:rPr>
          <w:b/>
          <w:u w:val="single"/>
        </w:rPr>
        <w:t xml:space="preserve">3299 </w:t>
      </w:r>
      <w:r w:rsidRPr="00EF59CF">
        <w:rPr>
          <w:u w:val="single"/>
        </w:rPr>
        <w:t>- Ostali nespomenuti rashodi poslovanja</w:t>
      </w:r>
      <w:r w:rsidR="002B441D">
        <w:t xml:space="preserve"> su iznosili 1.472,90 eura, dok su godinu ranije bili 183,72 eura. Odnosili su se na </w:t>
      </w:r>
      <w:r w:rsidR="00EF59CF">
        <w:t>račune</w:t>
      </w:r>
      <w:r w:rsidR="002B441D">
        <w:t xml:space="preserve"> javnog bilježnika, </w:t>
      </w:r>
      <w:r w:rsidR="00EF59CF">
        <w:t>obrta Plavog astronauta</w:t>
      </w:r>
      <w:r w:rsidR="002B441D">
        <w:t xml:space="preserve">, </w:t>
      </w:r>
      <w:r w:rsidR="00EF59CF">
        <w:t>Narodne novine i Nove vibracije d.o.o.</w:t>
      </w:r>
    </w:p>
    <w:p w:rsidR="005D290C" w:rsidRDefault="005D290C" w:rsidP="008057C6">
      <w:pPr>
        <w:rPr>
          <w:b/>
        </w:rPr>
      </w:pPr>
    </w:p>
    <w:p w:rsidR="00D71A5A" w:rsidRPr="005D290C" w:rsidRDefault="00043A3D" w:rsidP="008057C6">
      <w:r>
        <w:rPr>
          <w:b/>
        </w:rPr>
        <w:t xml:space="preserve">c.) </w:t>
      </w:r>
      <w:r w:rsidRPr="005D290C">
        <w:rPr>
          <w:b/>
          <w:u w:val="single"/>
        </w:rPr>
        <w:t>Financijski rashodi</w:t>
      </w:r>
      <w:r w:rsidR="005D290C">
        <w:rPr>
          <w:b/>
          <w:u w:val="single"/>
        </w:rPr>
        <w:t xml:space="preserve"> -</w:t>
      </w:r>
      <w:r w:rsidRPr="005D290C">
        <w:rPr>
          <w:b/>
          <w:u w:val="single"/>
        </w:rPr>
        <w:t xml:space="preserve"> 34</w:t>
      </w:r>
      <w:r>
        <w:rPr>
          <w:b/>
        </w:rPr>
        <w:t xml:space="preserve">- </w:t>
      </w:r>
      <w:r w:rsidRPr="005D290C">
        <w:t xml:space="preserve">u 2024. godini su iznosili </w:t>
      </w:r>
      <w:r w:rsidR="00700444">
        <w:rPr>
          <w:b/>
        </w:rPr>
        <w:t>1.145,19</w:t>
      </w:r>
      <w:r w:rsidRPr="005D290C">
        <w:rPr>
          <w:b/>
        </w:rPr>
        <w:t xml:space="preserve"> eura</w:t>
      </w:r>
      <w:r w:rsidRPr="005D290C">
        <w:t xml:space="preserve">, a godinu ranije </w:t>
      </w:r>
      <w:r w:rsidR="00700444">
        <w:t>923,34</w:t>
      </w:r>
      <w:r w:rsidRPr="005D290C">
        <w:t xml:space="preserve"> eura.</w:t>
      </w:r>
    </w:p>
    <w:p w:rsidR="005D290C" w:rsidRDefault="005D290C" w:rsidP="008057C6">
      <w:pPr>
        <w:rPr>
          <w:b/>
        </w:rPr>
      </w:pPr>
    </w:p>
    <w:p w:rsidR="002B441D" w:rsidRDefault="008057C6" w:rsidP="002B441D">
      <w:r w:rsidRPr="008057C6">
        <w:rPr>
          <w:b/>
        </w:rPr>
        <w:t xml:space="preserve">2.B. RASHODI za nabavu nefinancijske imovine </w:t>
      </w:r>
      <w:r w:rsidR="007301E5">
        <w:rPr>
          <w:b/>
        </w:rPr>
        <w:t xml:space="preserve">(razred </w:t>
      </w:r>
      <w:r w:rsidRPr="008057C6">
        <w:rPr>
          <w:b/>
        </w:rPr>
        <w:t>4</w:t>
      </w:r>
      <w:r w:rsidR="007301E5">
        <w:rPr>
          <w:b/>
        </w:rPr>
        <w:t>)</w:t>
      </w:r>
      <w:r w:rsidRPr="00B83764">
        <w:t xml:space="preserve"> </w:t>
      </w:r>
      <w:r w:rsidR="002B441D">
        <w:t xml:space="preserve">- </w:t>
      </w:r>
      <w:r w:rsidR="002B441D">
        <w:t xml:space="preserve">U CZK je potrošeno </w:t>
      </w:r>
      <w:r w:rsidR="002B441D" w:rsidRPr="002B441D">
        <w:rPr>
          <w:b/>
        </w:rPr>
        <w:t>131.058,84 eura</w:t>
      </w:r>
      <w:r w:rsidR="002B441D">
        <w:t xml:space="preserve"> (godinu ranije potrošeno je 253.328,50 eura), kako slijedi:</w:t>
      </w:r>
    </w:p>
    <w:p w:rsidR="002B441D" w:rsidRDefault="002B441D" w:rsidP="002B441D">
      <w:r>
        <w:t>- dodatna ulaganja na građevinskim objektima (uređenje prostora Memorijalne zbirke Olivera Dragojevića) u 2024. godini iznose 130.083,84 eura, i manja su za 46,99 % u odnosu na godinu ranije kada su iznosila 245.380,14 eura,</w:t>
      </w:r>
    </w:p>
    <w:p w:rsidR="002B441D" w:rsidRDefault="002B441D" w:rsidP="002B441D">
      <w:r>
        <w:t xml:space="preserve">-  U 2024. godini je potrošeno 975,00 eura na računalnu opremu, dok je godinu ranije potrošeno 7.948,36 eura i to na informatičku opremu za prezentiranje Vele </w:t>
      </w:r>
      <w:r>
        <w:t>s</w:t>
      </w:r>
      <w:r>
        <w:t>pile 6.687,50 eura i za projektnu dokumentaciju za Klačinu iznos od 1.260,86 eura.</w:t>
      </w:r>
    </w:p>
    <w:p w:rsidR="00216D44" w:rsidRPr="00216D44" w:rsidRDefault="00216D44" w:rsidP="00216D44"/>
    <w:p w:rsidR="0087056E" w:rsidRPr="005B3604" w:rsidRDefault="00BC5BD2" w:rsidP="005B3604">
      <w:pPr>
        <w:rPr>
          <w:b/>
        </w:rPr>
      </w:pPr>
      <w:r>
        <w:rPr>
          <w:b/>
        </w:rPr>
        <w:t xml:space="preserve">3. </w:t>
      </w:r>
      <w:r w:rsidR="00905280" w:rsidRPr="005B3604">
        <w:rPr>
          <w:b/>
        </w:rPr>
        <w:t>O</w:t>
      </w:r>
      <w:r w:rsidR="0087056E" w:rsidRPr="005B3604">
        <w:rPr>
          <w:b/>
        </w:rPr>
        <w:t xml:space="preserve">brazloženje prenesenog manjka odnosno viška iz prethodne </w:t>
      </w:r>
      <w:r w:rsidR="001314ED" w:rsidRPr="005B3604">
        <w:rPr>
          <w:b/>
        </w:rPr>
        <w:t>godine i viška odnosno manjka z</w:t>
      </w:r>
      <w:r w:rsidR="0087056E" w:rsidRPr="005B3604">
        <w:rPr>
          <w:b/>
        </w:rPr>
        <w:t>a</w:t>
      </w:r>
      <w:r w:rsidR="001314ED" w:rsidRPr="005B3604">
        <w:rPr>
          <w:b/>
        </w:rPr>
        <w:t xml:space="preserve"> </w:t>
      </w:r>
      <w:r w:rsidR="0087056E" w:rsidRPr="005B3604">
        <w:rPr>
          <w:b/>
        </w:rPr>
        <w:t>prije</w:t>
      </w:r>
      <w:r w:rsidR="00DD6C14" w:rsidRPr="005B3604">
        <w:rPr>
          <w:b/>
        </w:rPr>
        <w:t>nos u sljedeću godinu/razdoblje.</w:t>
      </w:r>
    </w:p>
    <w:p w:rsidR="00905280" w:rsidRPr="00216D44" w:rsidRDefault="00905280" w:rsidP="0087056E">
      <w:pPr>
        <w:pStyle w:val="ListParagraph"/>
        <w:rPr>
          <w:b/>
        </w:rPr>
      </w:pPr>
    </w:p>
    <w:p w:rsidR="002B441D" w:rsidRPr="00AC63D4" w:rsidRDefault="002B441D" w:rsidP="002B441D">
      <w:r w:rsidRPr="00AC63D4">
        <w:t xml:space="preserve">Centar za kulturu Vela Luka “ – ostvario je </w:t>
      </w:r>
      <w:r>
        <w:t>višak</w:t>
      </w:r>
      <w:r w:rsidRPr="00AC63D4">
        <w:t xml:space="preserve"> prihoda tekuće godine u iznosu od </w:t>
      </w:r>
      <w:r>
        <w:t>7.392,77 eura</w:t>
      </w:r>
      <w:r w:rsidRPr="00AC63D4">
        <w:t xml:space="preserve">, koji zajedno s prenesenim viškom prihoda iz prethodne godine u iznosu od </w:t>
      </w:r>
      <w:r>
        <w:t>1.472,90 eura</w:t>
      </w:r>
      <w:r w:rsidRPr="00AC63D4">
        <w:t xml:space="preserve">, ukupno daje </w:t>
      </w:r>
      <w:r w:rsidRPr="00AC63D4">
        <w:rPr>
          <w:b/>
        </w:rPr>
        <w:t>višak</w:t>
      </w:r>
      <w:r w:rsidRPr="00AC63D4">
        <w:t xml:space="preserve"> prihoda i primitaka raspoloživ u slijedećem razdoblju u iznosu od </w:t>
      </w:r>
      <w:r>
        <w:rPr>
          <w:b/>
        </w:rPr>
        <w:t>8.865,67 eura</w:t>
      </w:r>
      <w:r w:rsidRPr="00AC63D4">
        <w:t>.</w:t>
      </w:r>
    </w:p>
    <w:p w:rsidR="00EF59CF" w:rsidRDefault="00EF59CF" w:rsidP="00EF59CF">
      <w:pPr>
        <w:rPr>
          <w:b/>
          <w:u w:val="single"/>
        </w:rPr>
      </w:pPr>
    </w:p>
    <w:p w:rsidR="00EF59CF" w:rsidRPr="00957BF2" w:rsidRDefault="00EF59CF" w:rsidP="00EF59CF">
      <w:pPr>
        <w:rPr>
          <w:b/>
          <w:u w:val="single"/>
        </w:rPr>
      </w:pPr>
      <w:r>
        <w:rPr>
          <w:b/>
          <w:u w:val="single"/>
        </w:rPr>
        <w:t>P</w:t>
      </w:r>
      <w:r w:rsidRPr="00957BF2">
        <w:rPr>
          <w:b/>
          <w:u w:val="single"/>
        </w:rPr>
        <w:t>odaci o stanju novčanih sredstava na račun</w:t>
      </w:r>
      <w:r>
        <w:rPr>
          <w:b/>
          <w:u w:val="single"/>
        </w:rPr>
        <w:t>u</w:t>
      </w:r>
      <w:r w:rsidRPr="00957BF2">
        <w:rPr>
          <w:b/>
          <w:u w:val="single"/>
        </w:rPr>
        <w:t xml:space="preserve"> proračunsk</w:t>
      </w:r>
      <w:r>
        <w:rPr>
          <w:b/>
          <w:u w:val="single"/>
        </w:rPr>
        <w:t>og</w:t>
      </w:r>
      <w:r w:rsidRPr="00957BF2">
        <w:rPr>
          <w:b/>
          <w:u w:val="single"/>
        </w:rPr>
        <w:t xml:space="preserve"> korisnika na početku i na kraju proračunske godine.</w:t>
      </w:r>
    </w:p>
    <w:tbl>
      <w:tblPr>
        <w:tblW w:w="18150" w:type="dxa"/>
        <w:tblInd w:w="-5" w:type="dxa"/>
        <w:tblLook w:val="04A0" w:firstRow="1" w:lastRow="0" w:firstColumn="1" w:lastColumn="0" w:noHBand="0" w:noVBand="1"/>
      </w:tblPr>
      <w:tblGrid>
        <w:gridCol w:w="301"/>
        <w:gridCol w:w="17849"/>
      </w:tblGrid>
      <w:tr w:rsidR="00EF59CF" w:rsidRPr="00BA4F35" w:rsidTr="00092E05">
        <w:trPr>
          <w:trHeight w:val="157"/>
        </w:trPr>
        <w:tc>
          <w:tcPr>
            <w:tcW w:w="301" w:type="dxa"/>
            <w:tcBorders>
              <w:top w:val="nil"/>
              <w:left w:val="nil"/>
              <w:bottom w:val="nil"/>
              <w:right w:val="nil"/>
            </w:tcBorders>
            <w:shd w:val="clear" w:color="auto" w:fill="auto"/>
            <w:noWrap/>
            <w:vAlign w:val="bottom"/>
            <w:hideMark/>
          </w:tcPr>
          <w:p w:rsidR="00EF59CF" w:rsidRPr="00BA4F35" w:rsidRDefault="00EF59CF" w:rsidP="00092E05"/>
        </w:tc>
        <w:tc>
          <w:tcPr>
            <w:tcW w:w="17849" w:type="dxa"/>
            <w:tcBorders>
              <w:top w:val="nil"/>
              <w:left w:val="nil"/>
              <w:bottom w:val="nil"/>
              <w:right w:val="nil"/>
            </w:tcBorders>
            <w:shd w:val="clear" w:color="auto" w:fill="auto"/>
            <w:noWrap/>
            <w:vAlign w:val="bottom"/>
          </w:tcPr>
          <w:p w:rsidR="00EF59CF" w:rsidRPr="00BA4F35" w:rsidRDefault="00EF59CF" w:rsidP="00092E05">
            <w:pPr>
              <w:rPr>
                <w:b/>
                <w:bCs/>
              </w:rPr>
            </w:pPr>
          </w:p>
        </w:tc>
      </w:tr>
    </w:tbl>
    <w:tbl>
      <w:tblPr>
        <w:tblStyle w:val="TableGrid"/>
        <w:tblW w:w="0" w:type="auto"/>
        <w:tblLook w:val="04A0" w:firstRow="1" w:lastRow="0" w:firstColumn="1" w:lastColumn="0" w:noHBand="0" w:noVBand="1"/>
      </w:tblPr>
      <w:tblGrid>
        <w:gridCol w:w="3200"/>
        <w:gridCol w:w="2853"/>
        <w:gridCol w:w="3007"/>
      </w:tblGrid>
      <w:tr w:rsidR="00EF59CF" w:rsidRPr="003765BE" w:rsidTr="00092E05">
        <w:tc>
          <w:tcPr>
            <w:tcW w:w="3200" w:type="dxa"/>
          </w:tcPr>
          <w:p w:rsidR="00EF59CF" w:rsidRPr="003765BE" w:rsidRDefault="00EF59CF" w:rsidP="00092E05">
            <w:pPr>
              <w:jc w:val="both"/>
            </w:pPr>
            <w:proofErr w:type="spellStart"/>
            <w:r w:rsidRPr="003765BE">
              <w:t>Proračunski</w:t>
            </w:r>
            <w:proofErr w:type="spellEnd"/>
            <w:r w:rsidRPr="003765BE">
              <w:t xml:space="preserve"> </w:t>
            </w:r>
            <w:proofErr w:type="spellStart"/>
            <w:r w:rsidRPr="003765BE">
              <w:t>korisnik</w:t>
            </w:r>
            <w:proofErr w:type="spellEnd"/>
          </w:p>
        </w:tc>
        <w:tc>
          <w:tcPr>
            <w:tcW w:w="2853" w:type="dxa"/>
          </w:tcPr>
          <w:p w:rsidR="00EF59CF" w:rsidRPr="003765BE" w:rsidRDefault="00EF59CF" w:rsidP="00092E05">
            <w:pPr>
              <w:jc w:val="center"/>
            </w:pPr>
            <w:proofErr w:type="spellStart"/>
            <w:r w:rsidRPr="003765BE">
              <w:t>Stanje</w:t>
            </w:r>
            <w:proofErr w:type="spellEnd"/>
            <w:r w:rsidRPr="003765BE">
              <w:t xml:space="preserve"> </w:t>
            </w:r>
            <w:proofErr w:type="spellStart"/>
            <w:r w:rsidRPr="003765BE">
              <w:t>novčanih</w:t>
            </w:r>
            <w:proofErr w:type="spellEnd"/>
            <w:r w:rsidRPr="003765BE">
              <w:t xml:space="preserve"> </w:t>
            </w:r>
            <w:proofErr w:type="spellStart"/>
            <w:r w:rsidRPr="003765BE">
              <w:t>sredstava</w:t>
            </w:r>
            <w:proofErr w:type="spellEnd"/>
            <w:r w:rsidRPr="003765BE">
              <w:t xml:space="preserve"> 01.01.24.</w:t>
            </w:r>
          </w:p>
        </w:tc>
        <w:tc>
          <w:tcPr>
            <w:tcW w:w="3007" w:type="dxa"/>
          </w:tcPr>
          <w:p w:rsidR="00EF59CF" w:rsidRPr="003765BE" w:rsidRDefault="00EF59CF" w:rsidP="00092E05">
            <w:pPr>
              <w:jc w:val="center"/>
            </w:pPr>
            <w:proofErr w:type="spellStart"/>
            <w:r w:rsidRPr="003765BE">
              <w:t>Stanje</w:t>
            </w:r>
            <w:proofErr w:type="spellEnd"/>
            <w:r w:rsidRPr="003765BE">
              <w:t xml:space="preserve"> </w:t>
            </w:r>
            <w:proofErr w:type="spellStart"/>
            <w:r w:rsidRPr="003765BE">
              <w:t>novčanih</w:t>
            </w:r>
            <w:proofErr w:type="spellEnd"/>
            <w:r w:rsidRPr="003765BE">
              <w:t xml:space="preserve"> </w:t>
            </w:r>
            <w:proofErr w:type="spellStart"/>
            <w:r w:rsidRPr="003765BE">
              <w:t>sredstava</w:t>
            </w:r>
            <w:proofErr w:type="spellEnd"/>
            <w:r w:rsidRPr="003765BE">
              <w:t xml:space="preserve"> 31.12.24.</w:t>
            </w:r>
          </w:p>
        </w:tc>
      </w:tr>
      <w:tr w:rsidR="00EF59CF" w:rsidTr="00092E05">
        <w:tc>
          <w:tcPr>
            <w:tcW w:w="3200" w:type="dxa"/>
          </w:tcPr>
          <w:p w:rsidR="00EF59CF" w:rsidRPr="008A0E49" w:rsidRDefault="00EF59CF" w:rsidP="00EF59CF">
            <w:proofErr w:type="spellStart"/>
            <w:r w:rsidRPr="008A0E49">
              <w:t>Centar</w:t>
            </w:r>
            <w:proofErr w:type="spellEnd"/>
            <w:r w:rsidRPr="008A0E49">
              <w:t xml:space="preserve"> za </w:t>
            </w:r>
            <w:proofErr w:type="spellStart"/>
            <w:r w:rsidRPr="008A0E49">
              <w:t>kulturu</w:t>
            </w:r>
            <w:proofErr w:type="spellEnd"/>
            <w:r w:rsidRPr="008A0E49">
              <w:t xml:space="preserve"> Vela Luka</w:t>
            </w:r>
          </w:p>
        </w:tc>
        <w:tc>
          <w:tcPr>
            <w:tcW w:w="2853" w:type="dxa"/>
          </w:tcPr>
          <w:p w:rsidR="00EF59CF" w:rsidRPr="008A0E49" w:rsidRDefault="00EF59CF" w:rsidP="00EF59CF">
            <w:pPr>
              <w:jc w:val="right"/>
            </w:pPr>
            <w:r>
              <w:t>5.785,27</w:t>
            </w:r>
          </w:p>
        </w:tc>
        <w:tc>
          <w:tcPr>
            <w:tcW w:w="3007" w:type="dxa"/>
          </w:tcPr>
          <w:p w:rsidR="00EF59CF" w:rsidRPr="008A0E49" w:rsidRDefault="00EF59CF" w:rsidP="00EF59CF">
            <w:pPr>
              <w:jc w:val="right"/>
            </w:pPr>
            <w:r>
              <w:t>8.275,58</w:t>
            </w:r>
          </w:p>
        </w:tc>
      </w:tr>
    </w:tbl>
    <w:p w:rsidR="00FD3900" w:rsidRDefault="00FD3900" w:rsidP="00FD3900"/>
    <w:p w:rsidR="0037495A" w:rsidRDefault="0037495A" w:rsidP="00FD3900"/>
    <w:p w:rsidR="005B3604" w:rsidRDefault="005B3604" w:rsidP="00FD3900"/>
    <w:p w:rsidR="00AC4580" w:rsidRDefault="00AC4580" w:rsidP="00FD3900">
      <w:r>
        <w:t xml:space="preserve">Izvješće sastavila: </w:t>
      </w:r>
      <w:r w:rsidR="00281810">
        <w:t>Emma Rubeša</w:t>
      </w:r>
    </w:p>
    <w:p w:rsidR="00AC4580" w:rsidRDefault="00AC4580" w:rsidP="00FD3900"/>
    <w:p w:rsidR="0037495A" w:rsidRDefault="0037495A" w:rsidP="00AC4580">
      <w:pPr>
        <w:jc w:val="right"/>
      </w:pPr>
    </w:p>
    <w:p w:rsidR="0037495A" w:rsidRDefault="0037495A" w:rsidP="00AC4580">
      <w:pPr>
        <w:jc w:val="right"/>
      </w:pPr>
    </w:p>
    <w:p w:rsidR="0037495A" w:rsidRDefault="0037495A" w:rsidP="00AC4580">
      <w:pPr>
        <w:jc w:val="right"/>
      </w:pPr>
    </w:p>
    <w:p w:rsidR="00AC4580" w:rsidRPr="00216D44" w:rsidRDefault="00AC4580" w:rsidP="00AC4580">
      <w:pPr>
        <w:jc w:val="right"/>
      </w:pPr>
      <w:r>
        <w:t xml:space="preserve">Odgovorna osoba: </w:t>
      </w:r>
      <w:r w:rsidR="0080150D">
        <w:t>Petra Surjan</w:t>
      </w:r>
    </w:p>
    <w:sectPr w:rsidR="00AC4580" w:rsidRPr="00216D44" w:rsidSect="005B3604">
      <w:footerReference w:type="default" r:id="rId7"/>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9B8" w:rsidRDefault="00D419B8" w:rsidP="0076791A">
      <w:r>
        <w:separator/>
      </w:r>
    </w:p>
  </w:endnote>
  <w:endnote w:type="continuationSeparator" w:id="0">
    <w:p w:rsidR="00D419B8" w:rsidRDefault="00D419B8" w:rsidP="0076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142974"/>
      <w:docPartObj>
        <w:docPartGallery w:val="Page Numbers (Bottom of Page)"/>
        <w:docPartUnique/>
      </w:docPartObj>
    </w:sdtPr>
    <w:sdtEndPr>
      <w:rPr>
        <w:noProof/>
      </w:rPr>
    </w:sdtEndPr>
    <w:sdtContent>
      <w:p w:rsidR="0076791A" w:rsidRDefault="007679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6791A" w:rsidRDefault="00767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9B8" w:rsidRDefault="00D419B8" w:rsidP="0076791A">
      <w:r>
        <w:separator/>
      </w:r>
    </w:p>
  </w:footnote>
  <w:footnote w:type="continuationSeparator" w:id="0">
    <w:p w:rsidR="00D419B8" w:rsidRDefault="00D419B8" w:rsidP="00767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06545"/>
    <w:multiLevelType w:val="hybridMultilevel"/>
    <w:tmpl w:val="428081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F0B0D28"/>
    <w:multiLevelType w:val="hybridMultilevel"/>
    <w:tmpl w:val="C8E6D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80F7A14"/>
    <w:multiLevelType w:val="hybridMultilevel"/>
    <w:tmpl w:val="6D70ED6A"/>
    <w:lvl w:ilvl="0" w:tplc="C90668D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52F1A17"/>
    <w:multiLevelType w:val="hybridMultilevel"/>
    <w:tmpl w:val="2F100868"/>
    <w:lvl w:ilvl="0" w:tplc="08DE8692">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68BB15CD"/>
    <w:multiLevelType w:val="hybridMultilevel"/>
    <w:tmpl w:val="C8E6D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0553BE0"/>
    <w:multiLevelType w:val="hybridMultilevel"/>
    <w:tmpl w:val="2006EF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73E555C"/>
    <w:multiLevelType w:val="hybridMultilevel"/>
    <w:tmpl w:val="472E42AE"/>
    <w:lvl w:ilvl="0" w:tplc="C1765182">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90A3F5C"/>
    <w:multiLevelType w:val="hybridMultilevel"/>
    <w:tmpl w:val="632E65BE"/>
    <w:lvl w:ilvl="0" w:tplc="1F3EF6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2"/>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900"/>
    <w:rsid w:val="00040E1C"/>
    <w:rsid w:val="00043A3D"/>
    <w:rsid w:val="000F0D22"/>
    <w:rsid w:val="00116D27"/>
    <w:rsid w:val="001314ED"/>
    <w:rsid w:val="001A3C01"/>
    <w:rsid w:val="00216D44"/>
    <w:rsid w:val="0026432E"/>
    <w:rsid w:val="002708D9"/>
    <w:rsid w:val="00281810"/>
    <w:rsid w:val="00296005"/>
    <w:rsid w:val="00296FCA"/>
    <w:rsid w:val="002B441D"/>
    <w:rsid w:val="002B6C00"/>
    <w:rsid w:val="003214A0"/>
    <w:rsid w:val="0037495A"/>
    <w:rsid w:val="003870F9"/>
    <w:rsid w:val="003B49FA"/>
    <w:rsid w:val="003D3223"/>
    <w:rsid w:val="004D53AF"/>
    <w:rsid w:val="004F3AFA"/>
    <w:rsid w:val="00503F39"/>
    <w:rsid w:val="0050581E"/>
    <w:rsid w:val="00530A3D"/>
    <w:rsid w:val="00574517"/>
    <w:rsid w:val="005B3604"/>
    <w:rsid w:val="005D290C"/>
    <w:rsid w:val="00700444"/>
    <w:rsid w:val="007301E5"/>
    <w:rsid w:val="007519D1"/>
    <w:rsid w:val="00760AF2"/>
    <w:rsid w:val="0076791A"/>
    <w:rsid w:val="007D75D5"/>
    <w:rsid w:val="0080150D"/>
    <w:rsid w:val="008057C6"/>
    <w:rsid w:val="00854CF4"/>
    <w:rsid w:val="0087056E"/>
    <w:rsid w:val="0087110C"/>
    <w:rsid w:val="00891227"/>
    <w:rsid w:val="00905280"/>
    <w:rsid w:val="009123F5"/>
    <w:rsid w:val="0092238A"/>
    <w:rsid w:val="00931A71"/>
    <w:rsid w:val="009A029B"/>
    <w:rsid w:val="009E181B"/>
    <w:rsid w:val="00A21086"/>
    <w:rsid w:val="00A337C0"/>
    <w:rsid w:val="00A41E68"/>
    <w:rsid w:val="00A41F98"/>
    <w:rsid w:val="00AA260C"/>
    <w:rsid w:val="00AC06DA"/>
    <w:rsid w:val="00AC4580"/>
    <w:rsid w:val="00AC795B"/>
    <w:rsid w:val="00B3691A"/>
    <w:rsid w:val="00BC5BD2"/>
    <w:rsid w:val="00D01D7D"/>
    <w:rsid w:val="00D419B8"/>
    <w:rsid w:val="00D56C75"/>
    <w:rsid w:val="00D71A5A"/>
    <w:rsid w:val="00DD6C14"/>
    <w:rsid w:val="00E65C2C"/>
    <w:rsid w:val="00E77CFC"/>
    <w:rsid w:val="00EA3CA5"/>
    <w:rsid w:val="00EF52CE"/>
    <w:rsid w:val="00EF59CF"/>
    <w:rsid w:val="00F468BD"/>
    <w:rsid w:val="00FD39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4614"/>
  <w15:chartTrackingRefBased/>
  <w15:docId w15:val="{A3D58CBE-BCE0-4036-97B2-A8636D31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90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32E"/>
    <w:pPr>
      <w:ind w:left="720"/>
      <w:contextualSpacing/>
    </w:pPr>
  </w:style>
  <w:style w:type="paragraph" w:styleId="BalloonText">
    <w:name w:val="Balloon Text"/>
    <w:basedOn w:val="Normal"/>
    <w:link w:val="BalloonTextChar"/>
    <w:uiPriority w:val="99"/>
    <w:semiHidden/>
    <w:unhideWhenUsed/>
    <w:rsid w:val="007D75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5D5"/>
    <w:rPr>
      <w:rFonts w:ascii="Segoe UI" w:eastAsia="Times New Roman" w:hAnsi="Segoe UI" w:cs="Segoe UI"/>
      <w:sz w:val="18"/>
      <w:szCs w:val="18"/>
      <w:lang w:eastAsia="hr-HR"/>
    </w:rPr>
  </w:style>
  <w:style w:type="paragraph" w:customStyle="1" w:styleId="box474667">
    <w:name w:val="box_474667"/>
    <w:basedOn w:val="Normal"/>
    <w:rsid w:val="00854CF4"/>
    <w:pPr>
      <w:spacing w:before="100" w:beforeAutospacing="1" w:after="100" w:afterAutospacing="1"/>
    </w:pPr>
  </w:style>
  <w:style w:type="paragraph" w:styleId="BodyText">
    <w:name w:val="Body Text"/>
    <w:aliases w:val=" uvlaka 3,  uvlaka 2,uvlaka 2,uvlaka 3"/>
    <w:basedOn w:val="Normal"/>
    <w:link w:val="BodyTextChar"/>
    <w:rsid w:val="008057C6"/>
    <w:pPr>
      <w:jc w:val="both"/>
    </w:pPr>
  </w:style>
  <w:style w:type="character" w:customStyle="1" w:styleId="BodyTextChar">
    <w:name w:val="Body Text Char"/>
    <w:aliases w:val=" uvlaka 3 Char,  uvlaka 2 Char,uvlaka 2 Char,uvlaka 3 Char"/>
    <w:basedOn w:val="DefaultParagraphFont"/>
    <w:link w:val="BodyText"/>
    <w:rsid w:val="008057C6"/>
    <w:rPr>
      <w:rFonts w:ascii="Times New Roman" w:eastAsia="Times New Roman" w:hAnsi="Times New Roman" w:cs="Times New Roman"/>
      <w:sz w:val="24"/>
      <w:szCs w:val="24"/>
      <w:lang w:eastAsia="hr-HR"/>
    </w:rPr>
  </w:style>
  <w:style w:type="character" w:styleId="LineNumber">
    <w:name w:val="line number"/>
    <w:basedOn w:val="DefaultParagraphFont"/>
    <w:uiPriority w:val="99"/>
    <w:semiHidden/>
    <w:unhideWhenUsed/>
    <w:rsid w:val="005B3604"/>
  </w:style>
  <w:style w:type="paragraph" w:styleId="Header">
    <w:name w:val="header"/>
    <w:basedOn w:val="Normal"/>
    <w:link w:val="HeaderChar"/>
    <w:uiPriority w:val="99"/>
    <w:unhideWhenUsed/>
    <w:rsid w:val="0076791A"/>
    <w:pPr>
      <w:tabs>
        <w:tab w:val="center" w:pos="4703"/>
        <w:tab w:val="right" w:pos="9406"/>
      </w:tabs>
    </w:pPr>
  </w:style>
  <w:style w:type="character" w:customStyle="1" w:styleId="HeaderChar">
    <w:name w:val="Header Char"/>
    <w:basedOn w:val="DefaultParagraphFont"/>
    <w:link w:val="Header"/>
    <w:uiPriority w:val="99"/>
    <w:rsid w:val="0076791A"/>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76791A"/>
    <w:pPr>
      <w:tabs>
        <w:tab w:val="center" w:pos="4703"/>
        <w:tab w:val="right" w:pos="9406"/>
      </w:tabs>
    </w:pPr>
  </w:style>
  <w:style w:type="character" w:customStyle="1" w:styleId="FooterChar">
    <w:name w:val="Footer Char"/>
    <w:basedOn w:val="DefaultParagraphFont"/>
    <w:link w:val="Footer"/>
    <w:uiPriority w:val="99"/>
    <w:rsid w:val="0076791A"/>
    <w:rPr>
      <w:rFonts w:ascii="Times New Roman" w:eastAsia="Times New Roman" w:hAnsi="Times New Roman" w:cs="Times New Roman"/>
      <w:sz w:val="24"/>
      <w:szCs w:val="24"/>
      <w:lang w:eastAsia="hr-HR"/>
    </w:rPr>
  </w:style>
  <w:style w:type="table" w:styleId="TableGrid">
    <w:name w:val="Table Grid"/>
    <w:basedOn w:val="TableNormal"/>
    <w:rsid w:val="00EF59CF"/>
    <w:pPr>
      <w:spacing w:after="0" w:line="240" w:lineRule="auto"/>
    </w:pPr>
    <w:rPr>
      <w:rFonts w:ascii="Times New Roman" w:eastAsia="Times New Roman" w:hAnsi="Times New Roman" w:cs="Times New Roman"/>
      <w:sz w:val="20"/>
      <w:szCs w:val="20"/>
      <w:lang w:val="en-US"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87012">
      <w:bodyDiv w:val="1"/>
      <w:marLeft w:val="0"/>
      <w:marRight w:val="0"/>
      <w:marTop w:val="0"/>
      <w:marBottom w:val="0"/>
      <w:divBdr>
        <w:top w:val="none" w:sz="0" w:space="0" w:color="auto"/>
        <w:left w:val="none" w:sz="0" w:space="0" w:color="auto"/>
        <w:bottom w:val="none" w:sz="0" w:space="0" w:color="auto"/>
        <w:right w:val="none" w:sz="0" w:space="0" w:color="auto"/>
      </w:divBdr>
    </w:div>
    <w:div w:id="472406160">
      <w:bodyDiv w:val="1"/>
      <w:marLeft w:val="0"/>
      <w:marRight w:val="0"/>
      <w:marTop w:val="0"/>
      <w:marBottom w:val="0"/>
      <w:divBdr>
        <w:top w:val="none" w:sz="0" w:space="0" w:color="auto"/>
        <w:left w:val="none" w:sz="0" w:space="0" w:color="auto"/>
        <w:bottom w:val="none" w:sz="0" w:space="0" w:color="auto"/>
        <w:right w:val="none" w:sz="0" w:space="0" w:color="auto"/>
      </w:divBdr>
    </w:div>
    <w:div w:id="704601677">
      <w:bodyDiv w:val="1"/>
      <w:marLeft w:val="0"/>
      <w:marRight w:val="0"/>
      <w:marTop w:val="0"/>
      <w:marBottom w:val="0"/>
      <w:divBdr>
        <w:top w:val="none" w:sz="0" w:space="0" w:color="auto"/>
        <w:left w:val="none" w:sz="0" w:space="0" w:color="auto"/>
        <w:bottom w:val="none" w:sz="0" w:space="0" w:color="auto"/>
        <w:right w:val="none" w:sz="0" w:space="0" w:color="auto"/>
      </w:divBdr>
    </w:div>
    <w:div w:id="82308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1397</Words>
  <Characters>7966</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Marinka</dc:creator>
  <cp:keywords/>
  <dc:description/>
  <cp:lastModifiedBy>PC</cp:lastModifiedBy>
  <cp:revision>8</cp:revision>
  <cp:lastPrinted>2025-06-24T12:54:00Z</cp:lastPrinted>
  <dcterms:created xsi:type="dcterms:W3CDTF">2025-06-27T11:11:00Z</dcterms:created>
  <dcterms:modified xsi:type="dcterms:W3CDTF">2025-06-27T13:01:00Z</dcterms:modified>
</cp:coreProperties>
</file>